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RESIDENTIAL CARE FACILITIES FOR PERSONS WITH MENTAL ILLNESS (RCFs/PMI)</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481—62.1</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relates specifically to the licensing and regulation of residential care facilities for persons with mental illness (RCFs/PMI). Refer to 481—Chapter 57 for the licensing and regulation of all residential care facilities, including RCFs/PMI, and to 481—Chapter 60 for minimum physical standards for all residential care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481—62.2</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481—Chapter 57 and Iowa Code chapter </w:t>
      </w:r>
      <w:hyperlink r:id="rId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the following definitions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mental health and disability services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 adult abuse”</w:t>
      </w:r>
      <w:r>
        <w:rPr>
          <w:rFonts w:ascii="Times New Roman" w:hAnsi="Times New Roman"/>
          <w:b w:val="false"/>
          <w:i w:val="false"/>
          <w:color w:val="000000"/>
          <w:sz w:val="22"/>
        </w:rPr>
        <w:t> </w:t>
      </w:r>
      <w:r>
        <w:rPr>
          <w:rFonts w:ascii="Times New Roman" w:hAnsi="Times New Roman"/>
          <w:b w:val="false"/>
          <w:i w:val="false"/>
          <w:color w:val="000000"/>
          <w:sz w:val="22"/>
        </w:rPr>
        <w:t>is as defined in rule 481—52.1(235E).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identify a person’s current level of functioning and those factors which are barriers to maintaining the current level or achieving a higher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 process”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approach to assessment, service planning, and service implementation in which members of an interdisciplinary team utilize the skills, competencies, insights and perspectives provided by each member’s training and experience to develop a single, integrated, individual program plan to meet a resident’s needs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functioning”</w:t>
      </w:r>
      <w:r>
        <w:rPr>
          <w:rFonts w:ascii="Times New Roman" w:hAnsi="Times New Roman"/>
          <w:b w:val="false"/>
          <w:i w:val="false"/>
          <w:color w:val="000000"/>
          <w:sz w:val="22"/>
        </w:rPr>
        <w:t> </w:t>
      </w:r>
      <w:r>
        <w:rPr>
          <w:rFonts w:ascii="Times New Roman" w:hAnsi="Times New Roman"/>
          <w:b w:val="false"/>
          <w:i w:val="false"/>
          <w:color w:val="000000"/>
          <w:sz w:val="22"/>
        </w:rPr>
        <w:t>means a person’s current physiological and psychological status and current academic, community living, self-care, and vocational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counselor”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certified or eligible for certification as a mental health counselor by the National Academy of Certified Clinical Mental Health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illness”</w:t>
      </w:r>
      <w:r>
        <w:rPr>
          <w:rFonts w:ascii="Times New Roman" w:hAnsi="Times New Roman"/>
          <w:b w:val="false"/>
          <w:i w:val="false"/>
          <w:color w:val="000000"/>
          <w:sz w:val="22"/>
        </w:rPr>
        <w:t> </w:t>
      </w:r>
      <w:r>
        <w:rPr>
          <w:rFonts w:ascii="Times New Roman" w:hAnsi="Times New Roman"/>
          <w:b w:val="false"/>
          <w:i w:val="false"/>
          <w:color w:val="000000"/>
          <w:sz w:val="22"/>
        </w:rPr>
        <w:t>means a substantial disorder of thought or mood which significantly impairs judgment, behavior, or the capacity to recognize reality or the ability to cope with the ordinary demands of life. Mental disorders include the organic and functional psychoses, neuroses, personality disorders, alcoholism and drug dependence, behavioral disorders and other disorders as defined by the current edition of American Psychiatric Association Diagnostic and Statistical Manual of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or physiological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prevent, halt, control, relieve, or reverse symptoms or conditions which interfere with the physical or physiological functioning of the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currently licensed as a registered nurse under Iowa Code chapter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who holds a national certification in psychiatric mental health care and who is licensed by the board of nursing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meets the requirements of a certified psychiatric nurse, is eligible for certification by the American Nursing Association, and is licensed by the state of Iowa to practice nursing as defined in Iowa Code chapter </w:t>
      </w:r>
      <w:hyperlink r:id="rId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“Psychiatrist”</w:t>
      </w:r>
      <w:r>
        <w:rPr>
          <w:rFonts w:ascii="Times New Roman" w:hAnsi="Times New Roman"/>
          <w:b w:val="false"/>
          <w:i w:val="false"/>
          <w:color w:val="000000"/>
          <w:sz w:val="22"/>
        </w:rPr>
        <w:t> </w:t>
      </w:r>
      <w:r>
        <w:rPr>
          <w:rFonts w:ascii="Times New Roman" w:hAnsi="Times New Roman"/>
          <w:b w:val="false"/>
          <w:i w:val="false"/>
          <w:color w:val="000000"/>
          <w:sz w:val="22"/>
        </w:rPr>
        <w:t>means a doctor of medicine or osteopathic medicine and surgery who is certified by the American Board of Psychiatry and Neurology or who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“Psychologist”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psychology in the state of Iowa, or is certified by the Iowa department of education as a school psychologist, or is eligible for certification, or meets the requirements for eligibility for a license to practice psychology in the state of Iowa that were effective prior to July 1,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“Psychotherapeutic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a person in the identification or modification of beliefs, emotions, attitudes, or behaviors in order to maintain or improve the person’s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mental health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“QMHP”</w:t>
      </w:r>
      <w:r>
        <w:rPr>
          <w:rFonts w:ascii="Times New Roman" w:hAnsi="Times New Roman"/>
          <w:b w:val="false"/>
          <w:i w:val="false"/>
          <w:color w:val="000000"/>
          <w:sz w:val="22"/>
        </w:rPr>
        <w:t>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Is a psychiatrist, psychologist, social worker, certified psychiatric nurse, psychiatric advanced registered nurse practitioner, or mental health counselor;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doctor of medicine or osteopathic medicine, a physician associate, or an advanced registered nurse practitioner and has at least one year’s documented supervised experience in providing mental health services;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 master’s degree with coursework focusing on diagnosis, evaluation, and psychotherapeutic treatment of mental health problems and mental illness;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employed by a community mental health center or mental health service provider accredited by the commission and has less than a master’s degree but at least a bachelor’s degree and sufficient education and experience as determined by the chief administrative officer of the community mental health center, with the approval of the commission, with coursework and experience focusing on diagnosis and evaluation and treatment of persons with mental health problems and mental illness.</w:t>
      </w:r>
    </w:p>
    <w:p>
      <w:pPr>
        <w:spacing w:before="0" w:after="0"/>
        <w:ind w:left="120"/>
        <w:jc w:val="both"/>
      </w:pPr>
      <w:r>
        <w:rPr>
          <w:rFonts w:ascii="Times New Roman" w:hAnsi="Times New Roman"/>
          <w:b w:val="false"/>
          <w:i w:val="false"/>
          <w:color w:val="000000"/>
          <w:sz w:val="22"/>
        </w:rPr>
        <w:t xml:space="preserve">If the person is practicing in a field covered by an Iowa licensure law, the person shall hold a current Iowa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admitted to the facility to receive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“Social worker”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social work in the state of Iowa or who is eligible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r>
        <w:rPr>
          <w:rFonts w:ascii="Times New Roman" w:hAnsi="Times New Roman"/>
          <w:b w:val="false"/>
          <w:i w:val="false"/>
          <w:color w:val="000000"/>
          <w:sz w:val="22"/>
        </w:rPr>
        <w:t>In addition to personnel requirements found in 481—Chapter 57, the RCF/PMI shall provide for services of a qualified mental health professional, by direct employment or contract, whose responsibilities shall include, but not be limited to: (II, III)</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Approval of each resident’s service plan;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the implementation of each resident’s service plan; (II,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Recording each resident’s progress; and (II, III)</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Participating in a periodic review of each resident’s service plan.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481—62.4</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criteria. </w:t>
      </w:r>
      <w:r>
        <w:rPr>
          <w:rFonts w:ascii="Times New Roman" w:hAnsi="Times New Roman"/>
          <w:b w:val="false"/>
          <w:i w:val="false"/>
          <w:color w:val="000000"/>
          <w:sz w:val="22"/>
        </w:rPr>
        <w:t>In addition to admission criteria found in 481—Chapter 57, the facility’s admission criteria shall include but not be limited to age, sex, diagnosis from the American Psychiatric Association Diagnostic and Statistical Manual of Mental Disorders, substance abuse, dual diagnosis and criteria that are consistent with the résumé of care.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481—62.5</w:t>
      </w:r>
      <w:r>
        <w:rPr>
          <w:rFonts w:ascii="Times New Roman" w:hAnsi="Times New Roman"/>
          <w:b/>
          <w:i w:val="false"/>
          <w:color w:val="000000"/>
          <w:sz w:val="22"/>
        </w:rPr>
        <w:t xml:space="preserve">(135C) </w:t>
      </w:r>
      <w:r>
        <w:rPr>
          <w:rFonts w:ascii="Times New Roman" w:hAnsi="Times New Roman"/>
          <w:b/>
          <w:i w:val="false"/>
          <w:color w:val="000000"/>
          <w:sz w:val="22"/>
        </w:rPr>
        <w:t xml:space="preserve">Evaluation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val="false"/>
          <w:color w:val="000000"/>
          <w:sz w:val="22"/>
        </w:rPr>
        <w:t>Evaluation services shall be provided to each resident. An annual evaluation of each resident shall be completed no later than 12 months from the date of the last available evaluation. For residents who are on leave from a state mental health institution, the institution shall be responsible for the completion of the evaluation. The facility shall ensure the completion of the evaluation of all other residents. The annual evaluation shall identify physical health and current level of functioning and need for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to identify the resident’s physical health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Result in identification of current illness and disabilities and recommendations for physical and physiological treatment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an evaluation of the resident’s ability for health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performed by a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62.5(3)</w:t>
      </w:r>
      <w:r>
        <w:rPr>
          <w:rFonts w:ascii="Times New Roman" w:hAnsi="Times New Roman"/>
          <w:b w:val="false"/>
          <w:i w:val="false"/>
          <w:color w:val="000000"/>
          <w:sz w:val="22"/>
        </w:rPr>
        <w:t> </w:t>
      </w:r>
      <w:r>
        <w:rPr>
          <w:rFonts w:ascii="Times New Roman" w:hAnsi="Times New Roman"/>
          <w:b w:val="false"/>
          <w:i w:val="false"/>
          <w:color w:val="000000"/>
          <w:sz w:val="22"/>
        </w:rPr>
        <w:t>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to identify the resident’s current level of functioning and need for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resident’s level of functioning and need for services in each of the following areas: self-care, community living skills, psychotherapeutic treatment, vocational skills, and academic skills.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of sufficient detail to determine the appropriateness of placement according to the skills and needs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made without regard to the availability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performed by a QMHP, in consultation with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evaluation is available from the referral source, the evaluation shall be secured by the facility prior to the admission of the applicant.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evaluation is not available or does not contain all the required information, the facility shall ensure an evaluation to the extent necessary to determine if the applicant meets the criteria for admission. For those admitted, the remainder of the evaluation shall be performed prior to the development of a service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Results of all evaluations shall be in writing and maintained in the resident’s record. Evaluations subsequent to the initial evaluation shall be performed in sufficient detail to determine changes in the resident’s physical health, skills and need for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62.5(4)</w:t>
      </w:r>
      <w:r>
        <w:rPr>
          <w:rFonts w:ascii="Times New Roman" w:hAnsi="Times New Roman"/>
          <w:b w:val="false"/>
          <w:i w:val="false"/>
          <w:color w:val="000000"/>
          <w:sz w:val="22"/>
        </w:rPr>
        <w:t> </w:t>
      </w:r>
      <w:r>
        <w:rPr>
          <w:rFonts w:ascii="Times New Roman" w:hAnsi="Times New Roman"/>
          <w:b w:val="false"/>
          <w:i w:val="false"/>
          <w:color w:val="000000"/>
          <w:sz w:val="22"/>
        </w:rPr>
        <w:t>A narrative social history shall be completed for each resident within 30 days of admission and approved by the qualified mental health professional prior to the development of the service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social history was secured from another provider, the information contained shall be reviewed within 30 days of admission. The date of the review, signature of the staff reviewing the history, and a summary of significant changes in the information shall be entered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review of the information contained within the social history shall be incorporated into the service plan progress note.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social history shall minimally address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Referral source and reason for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status,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previous living arrangements,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previous services received and summary of current service involvements,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summary of significant medical conditions including, but not limited to, illnesses, hospitalizations, past and current drug therapies, and special diets,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history,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Work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Educational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Relationship with family, significant others, and other support systems,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Cultural and ethnic background and religious affiliation,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Hobbies and leisure time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Likes, dislikes, habits, and patterns of behavior,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Impressions and recommendations.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135C.14(7)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2/5/88, Notice 10/7/87—published 2/24/88, effective 3/30/88]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p>
    <w:p>
      <w:pPr>
        <w:spacing w:before="0" w:after="0"/>
        <w:ind w:left="120"/>
        <w:jc w:val="center"/>
      </w:pPr>
      <w:r>
        <w:rPr>
          <w:rFonts w:ascii="Times New Roman" w:hAnsi="Times New Roman"/>
          <w:b w:val="false"/>
          <w:i w:val="false"/>
          <w:color w:val="000000"/>
          <w:sz w:val="21"/>
        </w:rPr>
        <w:t>[Filed 12/9/88, Notices 8/24/88, 10/5/88—published 12/28/88, effective 2/1/89]</w:t>
      </w:r>
    </w:p>
    <w:p>
      <w:pPr>
        <w:spacing w:before="0" w:after="0"/>
        <w:ind w:left="120"/>
        <w:jc w:val="center"/>
      </w:pPr>
      <w:r>
        <w:rPr>
          <w:rFonts w:ascii="Times New Roman" w:hAnsi="Times New Roman"/>
          <w:b w:val="false"/>
          <w:i w:val="false"/>
          <w:color w:val="000000"/>
          <w:sz w:val="21"/>
        </w:rPr>
        <w:t>[Filed 4/14/89, Notice 2/8/89—published 5/3/89, effective 6/7/89]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1/31/92, Notice 11/13/91—published 2/19/92, effective 7/1/92]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1/15/93, Notice 11/25/92—published 2/3/93, effective 3/10/93]</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2643C</w:t>
      </w:r>
      <w:r>
        <w:rPr>
          <w:rFonts w:ascii="Times New Roman" w:hAnsi="Times New Roman"/>
          <w:b w:val="false"/>
          <w:i w:val="false"/>
          <w:color w:val="000000"/>
          <w:sz w:val="21"/>
        </w:rPr>
        <w:t xml:space="preserve"> (Notice ARC 2395C, IAB 2/3/16)</w:t>
      </w:r>
      <w:r>
        <w:rPr>
          <w:rFonts w:ascii="Times New Roman" w:hAnsi="Times New Roman"/>
          <w:b w:val="false"/>
          <w:i w:val="false"/>
          <w:color w:val="000000"/>
          <w:sz w:val="21"/>
        </w:rPr>
        <w:t>, IAB 8/3/16, effective 9/7/16]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3739C</w:t>
      </w:r>
      <w:r>
        <w:rPr>
          <w:rFonts w:ascii="Times New Roman" w:hAnsi="Times New Roman"/>
          <w:b w:val="false"/>
          <w:i w:val="false"/>
          <w:color w:val="000000"/>
          <w:sz w:val="21"/>
        </w:rPr>
        <w:t xml:space="preserve"> (Notice ARC 3474C, IAB 12/6/17)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September 7, 2016, effective date of 57.19(3)</w:t>
      </w:r>
      <w:r>
        <w:rPr>
          <w:rFonts w:ascii="Times New Roman" w:hAnsi="Times New Roman"/>
          <w:b w:val="false"/>
          <w:i/>
          <w:color w:val="000000"/>
          <w:sz w:val="22"/>
        </w:rPr>
        <w:t>“d,”</w:t>
      </w:r>
      <w:r>
        <w:rPr>
          <w:rFonts w:ascii="Times New Roman" w:hAnsi="Times New Roman"/>
          <w:b w:val="false"/>
          <w:i w:val="false"/>
          <w:color w:val="000000"/>
          <w:sz w:val="22"/>
        </w:rPr>
        <w:t xml:space="preserve"> 62.15(2)</w:t>
      </w:r>
      <w:r>
        <w:rPr>
          <w:rFonts w:ascii="Times New Roman" w:hAnsi="Times New Roman"/>
          <w:b w:val="false"/>
          <w:i/>
          <w:color w:val="000000"/>
          <w:sz w:val="22"/>
        </w:rPr>
        <w:t>“d,”</w:t>
      </w:r>
      <w:r>
        <w:rPr>
          <w:rFonts w:ascii="Times New Roman" w:hAnsi="Times New Roman"/>
          <w:b w:val="false"/>
          <w:i w:val="false"/>
          <w:color w:val="000000"/>
          <w:sz w:val="22"/>
        </w:rPr>
        <w:t xml:space="preserve"> and 63.18(3)</w:t>
      </w:r>
      <w:r>
        <w:rPr>
          <w:rFonts w:ascii="Times New Roman" w:hAnsi="Times New Roman"/>
          <w:b w:val="false"/>
          <w:i/>
          <w:color w:val="000000"/>
          <w:sz w:val="22"/>
        </w:rPr>
        <w:t>“d”</w:t>
      </w:r>
      <w:r>
        <w:rPr>
          <w:rFonts w:ascii="Times New Roman" w:hAnsi="Times New Roman"/>
          <w:b w:val="false"/>
          <w:i w:val="false"/>
          <w:color w:val="000000"/>
          <w:sz w:val="22"/>
        </w:rPr>
        <w:t xml:space="preserve"> [ARC 2643C] delayed 70 days by the Administrative Rules Review Committee at its meeting held August 5, 2016.</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co/chapter/152E.pdf" Type="http://schemas.openxmlformats.org/officeDocument/2006/relationships/hyperlink" Id="rId7"/>
    <Relationship TargetMode="External" Target="https://www.legis.iowa.gov/docs/ico/chapter/152.pdf" Type="http://schemas.openxmlformats.org/officeDocument/2006/relationships/hyperlink" Id="rId8"/>
    <Relationship TargetMode="External" Target="https://www.legis.iowa.gov/docs/ico/chapter/135C.14.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