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619</w:t>
      </w:r>
    </w:p>
    <w:p>
      <w:pPr>
        <w:spacing w:before="0" w:after="0"/>
        <w:ind w:left="120"/>
        <w:jc w:val="center"/>
      </w:pPr>
      <w:r>
        <w:rPr>
          <w:rFonts w:ascii="Times New Roman" w:hAnsi="Times New Roman"/>
          <w:b w:val="false"/>
          <w:i w:val="false"/>
          <w:color w:val="000000"/>
          <w:sz w:val="21"/>
        </w:rPr>
        <w:t>CONTINUING EDUCATION</w:t>
      </w:r>
    </w:p>
    <w:p>
      <w:pPr>
        <w:spacing w:before="0" w:after="0"/>
        <w:ind w:left="120"/>
        <w:jc w:val="center"/>
      </w:pPr>
      <w:r>
        <w:rPr>
          <w:rFonts w:ascii="Times New Roman" w:hAnsi="Times New Roman"/>
          <w:b w:val="false"/>
          <w:i w:val="false"/>
          <w:color w:val="000000"/>
          <w:sz w:val="20"/>
        </w:rPr>
        <w:t>[Prior to 8/26/87, Nursing Board[590] Ch 5]</w:t>
      </w:r>
    </w:p>
    <w:p>
      <w:pPr>
        <w:spacing w:before="0" w:after="0"/>
        <w:ind w:left="120"/>
        <w:jc w:val="center"/>
      </w:pPr>
      <w:r>
        <w:rPr>
          <w:rFonts w:ascii="Times New Roman" w:hAnsi="Times New Roman"/>
          <w:b w:val="false"/>
          <w:i w:val="false"/>
          <w:color w:val="000000"/>
          <w:sz w:val="20"/>
        </w:rPr>
        <w:t>[Prior to 6/11/25, see Nursing Board[655]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481—619.1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board adopts by reference the definitions in Iowa Code section </w:t>
      </w:r>
      <w:hyperlink r:id="rId5">
        <w:r>
          <w:rPr>
            <w:rStyle w:val="Hyperlink"/>
            <w:rFonts w:ascii="Times New Roman" w:hAnsi="Times New Roman"/>
            <w:b w:val="false"/>
            <w:i w:val="false"/>
            <w:color w:val="000000"/>
            <w:sz w:val="22"/>
          </w:rPr>
          <w:t>272C.1</w:t>
        </w:r>
      </w:hyperlink>
      <w:r>
        <w:rPr>
          <w:rFonts w:ascii="Times New Roman" w:hAnsi="Times New Roman"/>
          <w:b w:val="false"/>
          <w:i w:val="false"/>
          <w:color w:val="000000"/>
          <w:sz w:val="22"/>
        </w:rPr>
        <w:t xml:space="preserve"> as well as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“Academic offering”</w:t>
      </w:r>
      <w:r>
        <w:rPr>
          <w:rFonts w:ascii="Times New Roman" w:hAnsi="Times New Roman"/>
          <w:b w:val="false"/>
          <w:i w:val="false"/>
          <w:color w:val="000000"/>
          <w:sz w:val="22"/>
        </w:rPr>
        <w:t> </w:t>
      </w:r>
      <w:r>
        <w:rPr>
          <w:rFonts w:ascii="Times New Roman" w:hAnsi="Times New Roman"/>
          <w:b w:val="false"/>
          <w:i w:val="false"/>
          <w:color w:val="000000"/>
          <w:sz w:val="22"/>
        </w:rPr>
        <w:t>means an extension course, independent study, or other course that is offered for academic credit or audit by an accredited institution of higher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“Audit”</w:t>
      </w:r>
      <w:r>
        <w:rPr>
          <w:rFonts w:ascii="Times New Roman" w:hAnsi="Times New Roman"/>
          <w:b w:val="false"/>
          <w:i w:val="false"/>
          <w:color w:val="000000"/>
          <w:sz w:val="22"/>
        </w:rPr>
        <w: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“Certification”</w:t>
      </w:r>
      <w:r>
        <w:rPr>
          <w:rFonts w:ascii="Times New Roman" w:hAnsi="Times New Roman"/>
          <w:b w:val="false"/>
          <w:i w:val="false"/>
          <w:color w:val="000000"/>
          <w:sz w:val="22"/>
        </w:rPr>
        <w:t> </w:t>
      </w:r>
      <w:r>
        <w:rPr>
          <w:rFonts w:ascii="Times New Roman" w:hAnsi="Times New Roman"/>
          <w:b w:val="false"/>
          <w:i w:val="false"/>
          <w:color w:val="000000"/>
          <w:sz w:val="22"/>
        </w:rPr>
        <w:t>means evidence of advanced credentials earned by a licensee who has met all eligibility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 credit”</w:t>
      </w:r>
      <w:r>
        <w:rPr>
          <w:rFonts w:ascii="Times New Roman" w:hAnsi="Times New Roman"/>
          <w:b w:val="false"/>
          <w:i w:val="false"/>
          <w:color w:val="000000"/>
          <w:sz w:val="22"/>
        </w:rPr>
        <w:t> </w:t>
      </w:r>
      <w:r>
        <w:rPr>
          <w:rFonts w:ascii="Times New Roman" w:hAnsi="Times New Roman"/>
          <w:b w:val="false"/>
          <w:i w:val="false"/>
          <w:color w:val="000000"/>
          <w:sz w:val="22"/>
        </w:rPr>
        <w:t>means contact hours or continuing education units (CEUs) to show evidence of course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“Extended course”</w:t>
      </w:r>
      <w:r>
        <w:rPr>
          <w:rFonts w:ascii="Times New Roman" w:hAnsi="Times New Roman"/>
          <w:b w:val="false"/>
          <w:i w:val="false"/>
          <w:color w:val="000000"/>
          <w:sz w:val="22"/>
        </w:rPr>
        <w:t> </w:t>
      </w:r>
      <w:r>
        <w:rPr>
          <w:rFonts w:ascii="Times New Roman" w:hAnsi="Times New Roman"/>
          <w:b w:val="false"/>
          <w:i w:val="false"/>
          <w:color w:val="000000"/>
          <w:sz w:val="22"/>
        </w:rPr>
        <w:t>means an organized program of study offered in a series of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“Informal offering”</w:t>
      </w:r>
      <w:r>
        <w:rPr>
          <w:rFonts w:ascii="Times New Roman" w:hAnsi="Times New Roman"/>
          <w:b w:val="false"/>
          <w:i w:val="false"/>
          <w:color w:val="000000"/>
          <w:sz w:val="22"/>
        </w:rPr>
        <w:t> </w:t>
      </w:r>
      <w:r>
        <w:rPr>
          <w:rFonts w:ascii="Times New Roman" w:hAnsi="Times New Roman"/>
          <w:b w:val="false"/>
          <w:i w:val="false"/>
          <w:color w:val="000000"/>
          <w:sz w:val="22"/>
        </w:rPr>
        <w:t>means a workshop, seminar, webinar or online course, institute, conference, lecture, extended course, provider-designed self-study, or learner-designed self-study that is offered for credit in contact hours or continuing education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“Learner-designed self-study”</w:t>
      </w:r>
      <w:r>
        <w:rPr>
          <w:rFonts w:ascii="Times New Roman" w:hAnsi="Times New Roman"/>
          <w:b w:val="false"/>
          <w:i w:val="false"/>
          <w:color w:val="000000"/>
          <w:sz w:val="22"/>
        </w:rPr>
        <w:t> </w:t>
      </w:r>
      <w:r>
        <w:rPr>
          <w:rFonts w:ascii="Times New Roman" w:hAnsi="Times New Roman"/>
          <w:b w:val="false"/>
          <w:i w:val="false"/>
          <w:color w:val="000000"/>
          <w:sz w:val="22"/>
        </w:rPr>
        <w:t>means lecture development, research, preparation of articles for publication, development of patient care programs or patient education programs, or projects directed at resolving administrative problems in which the learner takes the initiative and the responsibility for assessing, planning, implementing, and evaluating an educational activity under the guidance of an Iowa approved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“Practicum”</w:t>
      </w:r>
      <w:r>
        <w:rPr>
          <w:rFonts w:ascii="Times New Roman" w:hAnsi="Times New Roman"/>
          <w:b w:val="false"/>
          <w:i w:val="false"/>
          <w:color w:val="000000"/>
          <w:sz w:val="22"/>
        </w:rPr>
        <w:t> </w:t>
      </w:r>
      <w:r>
        <w:rPr>
          <w:rFonts w:ascii="Times New Roman" w:hAnsi="Times New Roman"/>
          <w:b w:val="false"/>
          <w:i w:val="false"/>
          <w:color w:val="000000"/>
          <w:sz w:val="22"/>
        </w:rPr>
        <w:t>means a course-related, planned and supervised clinical experience that includes clinical objectives and assignment to practice in a laboratory setting or with patients/clients/families for attainment of the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“Provider-designed self-study”</w:t>
      </w:r>
      <w:r>
        <w:rPr>
          <w:rFonts w:ascii="Times New Roman" w:hAnsi="Times New Roman"/>
          <w:b w:val="false"/>
          <w:i w:val="false"/>
          <w:color w:val="000000"/>
          <w:sz w:val="22"/>
        </w:rPr>
        <w:t> </w:t>
      </w:r>
      <w:r>
        <w:rPr>
          <w:rFonts w:ascii="Times New Roman" w:hAnsi="Times New Roman"/>
          <w:b w:val="false"/>
          <w:i w:val="false"/>
          <w:color w:val="000000"/>
          <w:sz w:val="22"/>
        </w:rPr>
        <w:t>means a program that the provider designs for the nurse to complete at the nurse’s own pace (e.g., home study, programmed instruction).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481—619.2</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education—licensees.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619.2(1)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License renewal requires the verifiable completion of 36 contact hours or 3.6 CEUs of credit or an exemption within the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619.2(2)</w:t>
      </w:r>
      <w:r>
        <w:rPr>
          <w:rFonts w:ascii="Times New Roman" w:hAnsi="Times New Roman"/>
          <w:b w:val="false"/>
          <w:i w:val="false"/>
          <w:color w:val="000000"/>
          <w:sz w:val="22"/>
        </w:rPr>
        <w:t> </w:t>
      </w:r>
      <w:r>
        <w:rPr>
          <w:rFonts w:ascii="Times New Roman" w:hAnsi="Times New Roman"/>
          <w:b w:val="false"/>
          <w:i/>
          <w:color w:val="000000"/>
          <w:sz w:val="22"/>
        </w:rPr>
        <w:t xml:space="preserve">Accumulating hours or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Units of measurement used for continuing education courses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contact hour = 60 minutes of didactic instruction, work on learner-designed self-study, and clinical or laboratory practicum in an informal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CEU = 10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 academic semester hour = 15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One academic quarter hour = 10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 to 18 contact hours or 1.8 CEUs of credit may be carried over to a future license period if the licensee has exceeded the minimum required hours for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Approved make-up credit may only be used once.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619.2(3)</w:t>
      </w:r>
      <w:r>
        <w:rPr>
          <w:rFonts w:ascii="Times New Roman" w:hAnsi="Times New Roman"/>
          <w:b w:val="false"/>
          <w:i w:val="false"/>
          <w:color w:val="000000"/>
          <w:sz w:val="22"/>
        </w:rPr>
        <w:t> </w:t>
      </w:r>
      <w:r>
        <w:rPr>
          <w:rFonts w:ascii="Times New Roman" w:hAnsi="Times New Roman"/>
          <w:b w:val="false"/>
          <w:i/>
          <w:color w:val="000000"/>
          <w:sz w:val="22"/>
        </w:rPr>
        <w:t xml:space="preserve">Appropriate subject matter. </w:t>
      </w:r>
      <w:r>
        <w:rPr>
          <w:rFonts w:ascii="Times New Roman" w:hAnsi="Times New Roman"/>
          <w:b w:val="false"/>
          <w:i w:val="false"/>
          <w:color w:val="000000"/>
          <w:sz w:val="22"/>
        </w:rPr>
        <w:t>Appropriate subject matter for continuing education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Nursing practice related to health care of patients/clients/families in any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Professional growth and development related to nursing practice roles with a health care focus.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Sciences upon which nursing practice, nursing education, or nursing research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Social, economic, ethical and legal aspects of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Management of or administration of health care, health care personnel, or health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Education of patients or patients’ significant others, students, or personnel in the health care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Academic offerings that meet the qualifications of appropriate subject matter, meet the requirements of a nursing education program that extends beyond the education completed for the original nursing license, or both.  The licensee shall retain a transcript exhibiting a passing grade for each academic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Current national certification or recertification related to the practice of nursing. The national certification or recertification is recognized as 36 contact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Completion of a board-approved nurse refresher course. Hours of participation will be recognized as contact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Participation as a preceptor for a nursing student or employee transitioning into a new clinical practice area, for a minimum of 60 hours as a part of an organized preceptorship program. A licensee shall maintain documentation issued by the institution supervising the student or employee demonstrating the objectives of the preceptorship and the hours completed. A preceptorship shall be recognized as 6 contact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Completion of a nurse residency program. A residency program is recognized as 36 contact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Academic offerings provided by the following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Community colleges.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Public and private colleges and universities.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Governmental academies.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619.2(4)</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Licensees are required to keep continuing education documentation for a period of four years, including proof of attendance, licensee’s name, course date, course title, awarded hours and provider approval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619.2(5)</w:t>
      </w:r>
      <w:r>
        <w:rPr>
          <w:rFonts w:ascii="Times New Roman" w:hAnsi="Times New Roman"/>
          <w:b w:val="false"/>
          <w:i w:val="false"/>
          <w:color w:val="000000"/>
          <w:sz w:val="22"/>
        </w:rPr>
        <w:t> </w:t>
      </w:r>
      <w:r>
        <w:rPr>
          <w:rFonts w:ascii="Times New Roman" w:hAnsi="Times New Roman"/>
          <w:b w:val="false"/>
          <w:i/>
          <w:color w:val="000000"/>
          <w:sz w:val="22"/>
        </w:rPr>
        <w:t xml:space="preserve">Exemptions to continuing education. </w:t>
      </w:r>
      <w:r>
        <w:rPr>
          <w:rFonts w:ascii="Times New Roman" w:hAnsi="Times New Roman"/>
          <w:b w:val="false"/>
          <w:i w:val="false"/>
          <w:color w:val="000000"/>
          <w:sz w:val="22"/>
        </w:rPr>
        <w:t>A licensee may be exempt from continuing education requirements if the licensee provides proof upon request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Honorable active duty in the United States military during the license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Possesses a current license to practice in another state that has mandatory continuing education requirements, so long as the license is active and the licensee resides in a state other than Iowa at the time of renewal 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Worked outside the United States during the renewal period as a registered nurse or licensed practical nurse for the government or foreign service or in missionary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Had a physical or mental disability or illness during the relevant time period and applied for an extension of time to complete continuing education requirements or for a medical exemption from the continuing education requirements. An application is available upon request and requires the signature of a health care provider who can attest to the existence of a disability or illness during the license period. The application form shall be submitted prior to license expiration. A licensee shall not claim an extension of time or exemption from continuing education requirements on a license renewal application pursuant to this rule unless and until the licensee has received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619.2(6)</w:t>
      </w:r>
      <w:r>
        <w:rPr>
          <w:rFonts w:ascii="Times New Roman" w:hAnsi="Times New Roman"/>
          <w:b w:val="false"/>
          <w:i w:val="false"/>
          <w:color w:val="000000"/>
          <w:sz w:val="22"/>
        </w:rPr>
        <w:t> </w:t>
      </w:r>
      <w:r>
        <w:rPr>
          <w:rFonts w:ascii="Times New Roman" w:hAnsi="Times New Roman"/>
          <w:b w:val="false"/>
          <w:i/>
          <w:color w:val="000000"/>
          <w:sz w:val="22"/>
        </w:rPr>
        <w:t xml:space="preserve">Failure to meet requirement or qualify for an exemption. </w:t>
      </w:r>
      <w:r>
        <w:rPr>
          <w:rFonts w:ascii="Times New Roman" w:hAnsi="Times New Roman"/>
          <w:b w:val="false"/>
          <w:i w:val="false"/>
          <w:color w:val="000000"/>
          <w:sz w:val="22"/>
        </w:rPr>
        <w:t>A licensee who fails to meet continuing education requirements or qualify for an exemption prior to license expiration cannot renew the license until completion of the continuing education requirements or qualification for an exemption during the late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619.2(7)</w:t>
      </w:r>
      <w:r>
        <w:rPr>
          <w:rFonts w:ascii="Times New Roman" w:hAnsi="Times New Roman"/>
          <w:b w:val="false"/>
          <w:i w:val="false"/>
          <w:color w:val="000000"/>
          <w:sz w:val="22"/>
        </w:rPr>
        <w:t> </w:t>
      </w:r>
      <w:r>
        <w:rPr>
          <w:rFonts w:ascii="Times New Roman" w:hAnsi="Times New Roman"/>
          <w:b w:val="false"/>
          <w:i/>
          <w:color w:val="000000"/>
          <w:sz w:val="22"/>
        </w:rPr>
        <w:t xml:space="preserve">Audit of licensees. </w:t>
      </w:r>
      <w:r>
        <w:rPr>
          <w:rFonts w:ascii="Times New Roman" w:hAnsi="Times New Roman"/>
          <w:b w:val="false"/>
          <w:i w:val="false"/>
          <w:color w:val="000000"/>
          <w:sz w:val="22"/>
        </w:rPr>
        <w:t>The board may select licensees for audit following a period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must submit verification of compliance with continuing education requirements or of exemptions for the period of licensure being audited.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must submit proof of completion of the mandatory reporter training course(s) provided by the department of health and human services in the previous three years as specified in </w:t>
      </w:r>
      <w:hyperlink r:id="rId6">
        <w:r>
          <w:rPr>
            <w:rStyle w:val="Hyperlink"/>
            <w:rFonts w:ascii="Times New Roman" w:hAnsi="Times New Roman"/>
            <w:b w:val="false"/>
            <w:i w:val="false"/>
            <w:color w:val="000000"/>
            <w:sz w:val="22"/>
          </w:rPr>
          <w:t>481—subrule 617.7(3)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Verification must be submitted within 30 days after the date of the audit notification. An extension of time may be granted on an individual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submitted materials are incomplete or unsatisfactory, the licensee will be notified. The licensee will be given the opportunity to submit  credit to cover the deficit found through the audit. The make-up credit shall not be reused for the current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board will notify the licensee of satisfactory completion of the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complete the audit satisfactorily or falsification of information may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of a current mailing address will not absolve the licensee of the audit requirement.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3/28/78, Notice 2/8/78—published 4/19/78, effective 5/24/78]</w:t>
      </w:r>
    </w:p>
    <w:p>
      <w:pPr>
        <w:spacing w:before="0" w:after="0"/>
        <w:ind w:left="120"/>
        <w:jc w:val="center"/>
      </w:pPr>
      <w:r>
        <w:rPr>
          <w:rFonts w:ascii="Times New Roman" w:hAnsi="Times New Roman"/>
          <w:b w:val="false"/>
          <w:i w:val="false"/>
          <w:color w:val="000000"/>
          <w:sz w:val="21"/>
        </w:rPr>
        <w:t>[Filed 12/11/78, Notice 10/18/78—published 12/27/78, effective 1/31/79]</w:t>
      </w:r>
    </w:p>
    <w:p>
      <w:pPr>
        <w:spacing w:before="0" w:after="0"/>
        <w:ind w:left="120"/>
        <w:jc w:val="center"/>
      </w:pPr>
      <w:r>
        <w:rPr>
          <w:rFonts w:ascii="Times New Roman" w:hAnsi="Times New Roman"/>
          <w:b w:val="false"/>
          <w:i w:val="false"/>
          <w:color w:val="000000"/>
          <w:sz w:val="21"/>
        </w:rPr>
        <w:t>[Filed 2/22/85, Notice 1/2/85—published 3/13/85, effective 6/1/85]</w:t>
      </w:r>
    </w:p>
    <w:p>
      <w:pPr>
        <w:spacing w:before="0" w:after="0"/>
        <w:ind w:left="120"/>
        <w:jc w:val="center"/>
      </w:pPr>
      <w:r>
        <w:rPr>
          <w:rFonts w:ascii="Times New Roman" w:hAnsi="Times New Roman"/>
          <w:b w:val="false"/>
          <w:i w:val="false"/>
          <w:color w:val="000000"/>
          <w:sz w:val="21"/>
        </w:rPr>
        <w:t>[Filed without Notice 3/28/85—published 4/24/85, effective 6/1/85]</w:t>
      </w:r>
    </w:p>
    <w:p>
      <w:pPr>
        <w:spacing w:before="0" w:after="0"/>
        <w:ind w:left="120"/>
        <w:jc w:val="center"/>
      </w:pPr>
      <w:r>
        <w:rPr>
          <w:rFonts w:ascii="Times New Roman" w:hAnsi="Times New Roman"/>
          <w:b w:val="false"/>
          <w:i w:val="false"/>
          <w:color w:val="000000"/>
          <w:sz w:val="21"/>
        </w:rPr>
        <w:t>[Filed 1/21/86, Notice 10/23/85—published 2/12/86, effective 3/19/86]</w:t>
      </w:r>
    </w:p>
    <w:p>
      <w:pPr>
        <w:spacing w:before="0" w:after="0"/>
        <w:ind w:left="120"/>
        <w:jc w:val="center"/>
      </w:pPr>
      <w:r>
        <w:rPr>
          <w:rFonts w:ascii="Times New Roman" w:hAnsi="Times New Roman"/>
          <w:b w:val="false"/>
          <w:i w:val="false"/>
          <w:color w:val="000000"/>
          <w:sz w:val="21"/>
        </w:rPr>
        <w:t>[Filed 4/15/86, Notice 2/26/86—published 5/7/86, effective 6/11/86]</w:t>
      </w:r>
    </w:p>
    <w:p>
      <w:pPr>
        <w:spacing w:before="0" w:after="0"/>
        <w:ind w:left="120"/>
        <w:jc w:val="center"/>
      </w:pPr>
      <w:r>
        <w:rPr>
          <w:rFonts w:ascii="Times New Roman" w:hAnsi="Times New Roman"/>
          <w:b w:val="false"/>
          <w:i w:val="false"/>
          <w:color w:val="000000"/>
          <w:sz w:val="21"/>
        </w:rPr>
        <w:t>[Filed 7/23/86, Notice 5/21/86—published 8/13/86, effective 9/17/86]</w:t>
      </w:r>
    </w:p>
    <w:p>
      <w:pPr>
        <w:spacing w:before="0" w:after="0"/>
        <w:ind w:left="120"/>
        <w:jc w:val="center"/>
      </w:pPr>
      <w:r>
        <w:rPr>
          <w:rFonts w:ascii="Times New Roman" w:hAnsi="Times New Roman"/>
          <w:b w:val="false"/>
          <w:i w:val="false"/>
          <w:color w:val="000000"/>
          <w:sz w:val="21"/>
        </w:rPr>
        <w:t>[Filed emergency 7/29/87—published 8/26/87, effective 7/29/87]</w:t>
      </w:r>
    </w:p>
    <w:p>
      <w:pPr>
        <w:spacing w:before="0" w:after="0"/>
        <w:ind w:left="120"/>
        <w:jc w:val="center"/>
      </w:pPr>
      <w:r>
        <w:rPr>
          <w:rFonts w:ascii="Times New Roman" w:hAnsi="Times New Roman"/>
          <w:b w:val="false"/>
          <w:i w:val="false"/>
          <w:color w:val="000000"/>
          <w:sz w:val="21"/>
        </w:rPr>
        <w:t>[Filed 8/4/88, Notice 6/15/88—published 8/24/88, effective 9/28/88]</w:t>
      </w:r>
    </w:p>
    <w:p>
      <w:pPr>
        <w:spacing w:before="0" w:after="0"/>
        <w:ind w:left="120"/>
        <w:jc w:val="center"/>
      </w:pPr>
      <w:r>
        <w:rPr>
          <w:rFonts w:ascii="Times New Roman" w:hAnsi="Times New Roman"/>
          <w:b w:val="false"/>
          <w:i w:val="false"/>
          <w:color w:val="000000"/>
          <w:sz w:val="21"/>
        </w:rPr>
        <w:t>[Filed 5/26/89, Notice 2/22/89—published 6/14/89, effective 7/19/89]</w:t>
      </w:r>
    </w:p>
    <w:p>
      <w:pPr>
        <w:spacing w:before="0" w:after="0"/>
        <w:ind w:left="120"/>
        <w:jc w:val="center"/>
      </w:pPr>
      <w:r>
        <w:rPr>
          <w:rFonts w:ascii="Times New Roman" w:hAnsi="Times New Roman"/>
          <w:b w:val="false"/>
          <w:i w:val="false"/>
          <w:color w:val="000000"/>
          <w:sz w:val="21"/>
        </w:rPr>
        <w:t>[Filed 12/19/91, Notice 7/24/91—published 1/8/92, effective 2/12/92]</w:t>
      </w:r>
    </w:p>
    <w:p>
      <w:pPr>
        <w:spacing w:before="0" w:after="0"/>
        <w:ind w:left="120"/>
        <w:jc w:val="center"/>
      </w:pPr>
      <w:r>
        <w:rPr>
          <w:rFonts w:ascii="Times New Roman" w:hAnsi="Times New Roman"/>
          <w:b w:val="false"/>
          <w:i w:val="false"/>
          <w:color w:val="000000"/>
          <w:sz w:val="21"/>
        </w:rPr>
        <w:t>[Filed emergency 2/20/92—published 3/18/92, effective 2/20/92]</w:t>
      </w:r>
    </w:p>
    <w:p>
      <w:pPr>
        <w:spacing w:before="0" w:after="0"/>
        <w:ind w:left="120"/>
        <w:jc w:val="center"/>
      </w:pPr>
      <w:r>
        <w:rPr>
          <w:rFonts w:ascii="Times New Roman" w:hAnsi="Times New Roman"/>
          <w:b w:val="false"/>
          <w:i w:val="false"/>
          <w:color w:val="000000"/>
          <w:sz w:val="21"/>
        </w:rPr>
        <w:t>[Filed emergency 3/9/94—published 3/30/94, effective 3/9/94]</w:t>
      </w:r>
    </w:p>
    <w:p>
      <w:pPr>
        <w:spacing w:before="0" w:after="0"/>
        <w:ind w:left="120"/>
        <w:jc w:val="center"/>
      </w:pPr>
      <w:r>
        <w:rPr>
          <w:rFonts w:ascii="Times New Roman" w:hAnsi="Times New Roman"/>
          <w:b w:val="false"/>
          <w:i w:val="false"/>
          <w:color w:val="000000"/>
          <w:sz w:val="21"/>
        </w:rPr>
        <w:t>[Filed 4/29/99, Notice 3/24/99—published 5/19/99, effective 6/23/99]</w:t>
      </w:r>
    </w:p>
    <w:p>
      <w:pPr>
        <w:spacing w:before="0" w:after="0"/>
        <w:ind w:left="120"/>
        <w:jc w:val="center"/>
      </w:pPr>
      <w:r>
        <w:rPr>
          <w:rFonts w:ascii="Times New Roman" w:hAnsi="Times New Roman"/>
          <w:b w:val="false"/>
          <w:i w:val="false"/>
          <w:color w:val="000000"/>
          <w:sz w:val="21"/>
        </w:rPr>
        <w:t>[Filed emergency 11/9/00—published 11/29/00, effective 11/9/00]</w:t>
      </w:r>
    </w:p>
    <w:p>
      <w:pPr>
        <w:spacing w:before="0" w:after="0"/>
        <w:ind w:left="120"/>
        <w:jc w:val="center"/>
      </w:pPr>
      <w:r>
        <w:rPr>
          <w:rFonts w:ascii="Times New Roman" w:hAnsi="Times New Roman"/>
          <w:b w:val="false"/>
          <w:i w:val="false"/>
          <w:color w:val="000000"/>
          <w:sz w:val="21"/>
        </w:rPr>
        <w:t>[Filed emergency 7/20/01—published 8/8/01, effective 7/20/01]</w:t>
      </w:r>
    </w:p>
    <w:p>
      <w:pPr>
        <w:spacing w:before="0" w:after="0"/>
        <w:ind w:left="120"/>
        <w:jc w:val="center"/>
      </w:pPr>
      <w:r>
        <w:rPr>
          <w:rFonts w:ascii="Times New Roman" w:hAnsi="Times New Roman"/>
          <w:b w:val="false"/>
          <w:i w:val="false"/>
          <w:color w:val="000000"/>
          <w:sz w:val="21"/>
        </w:rPr>
        <w:t>[Filed 9/28/01, Notice 8/8/01—published 10/17/01, effective 11/21/01]</w:t>
      </w:r>
    </w:p>
    <w:p>
      <w:pPr>
        <w:spacing w:before="0" w:after="0"/>
        <w:ind w:left="120"/>
        <w:jc w:val="center"/>
      </w:pPr>
      <w:r>
        <w:rPr>
          <w:rFonts w:ascii="Times New Roman" w:hAnsi="Times New Roman"/>
          <w:b w:val="false"/>
          <w:i w:val="false"/>
          <w:color w:val="000000"/>
          <w:sz w:val="21"/>
        </w:rPr>
        <w:t>[Filed 10/1/04, Notice 7/7/04—published 10/27/04, effective 1/3/05]</w:t>
      </w:r>
    </w:p>
    <w:p>
      <w:pPr>
        <w:spacing w:before="0" w:after="0"/>
        <w:ind w:left="120"/>
        <w:jc w:val="center"/>
      </w:pPr>
      <w:r>
        <w:rPr>
          <w:rFonts w:ascii="Times New Roman" w:hAnsi="Times New Roman"/>
          <w:b w:val="false"/>
          <w:i w:val="false"/>
          <w:color w:val="000000"/>
          <w:sz w:val="21"/>
        </w:rPr>
        <w:t>[Filed ARC 2339C</w:t>
      </w:r>
      <w:r>
        <w:rPr>
          <w:rFonts w:ascii="Times New Roman" w:hAnsi="Times New Roman"/>
          <w:b w:val="false"/>
          <w:i w:val="false"/>
          <w:color w:val="000000"/>
          <w:sz w:val="21"/>
        </w:rPr>
        <w:t xml:space="preserve"> (Notice ARC 2109C, IAB 8/19/15)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3311C</w:t>
      </w:r>
      <w:r>
        <w:rPr>
          <w:rFonts w:ascii="Times New Roman" w:hAnsi="Times New Roman"/>
          <w:b w:val="false"/>
          <w:i w:val="false"/>
          <w:color w:val="000000"/>
          <w:sz w:val="21"/>
        </w:rPr>
        <w:t xml:space="preserve"> (Notice ARC 3046C, IAB 5/10/17)</w:t>
      </w:r>
      <w:r>
        <w:rPr>
          <w:rFonts w:ascii="Times New Roman" w:hAnsi="Times New Roman"/>
          <w:b w:val="false"/>
          <w:i w:val="false"/>
          <w:color w:val="000000"/>
          <w:sz w:val="21"/>
        </w:rPr>
        <w:t>, IAB 9/13/17, effective 1/1/18]</w:t>
      </w:r>
    </w:p>
    <w:p>
      <w:pPr>
        <w:spacing w:before="0" w:after="0"/>
        <w:ind w:left="120"/>
        <w:jc w:val="center"/>
      </w:pPr>
      <w:r>
        <w:rPr>
          <w:rFonts w:ascii="Times New Roman" w:hAnsi="Times New Roman"/>
          <w:b w:val="false"/>
          <w:i w:val="false"/>
          <w:color w:val="000000"/>
          <w:sz w:val="21"/>
        </w:rPr>
        <w:t>[Filed ARC 4927C</w:t>
      </w:r>
      <w:r>
        <w:rPr>
          <w:rFonts w:ascii="Times New Roman" w:hAnsi="Times New Roman"/>
          <w:b w:val="false"/>
          <w:i w:val="false"/>
          <w:color w:val="000000"/>
          <w:sz w:val="21"/>
        </w:rPr>
        <w:t xml:space="preserve"> (Notice ARC 4744C, IAB 11/6/19)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9162C</w:t>
      </w:r>
      <w:r>
        <w:rPr>
          <w:rFonts w:ascii="Times New Roman" w:hAnsi="Times New Roman"/>
          <w:b w:val="false"/>
          <w:i w:val="false"/>
          <w:color w:val="000000"/>
          <w:sz w:val="21"/>
        </w:rPr>
        <w:t xml:space="preserve"> (Notice ARC 8791C, IAB 1/22/25)</w:t>
      </w:r>
      <w:r>
        <w:rPr>
          <w:rFonts w:ascii="Times New Roman" w:hAnsi="Times New Roman"/>
          <w:b w:val="false"/>
          <w:i w:val="false"/>
          <w:color w:val="000000"/>
          <w:sz w:val="21"/>
        </w:rPr>
        <w:t>, IAB 4/30/25, effective 6/4/25]</w:t>
      </w:r>
    </w:p>
    <w:p>
      <w:pPr>
        <w:spacing w:before="0" w:after="0"/>
        <w:ind w:left="120"/>
        <w:jc w:val="center"/>
      </w:pPr>
      <w:r>
        <w:rPr>
          <w:rFonts w:ascii="Times New Roman" w:hAnsi="Times New Roman"/>
          <w:b w:val="false"/>
          <w:i w:val="false"/>
          <w:color w:val="000000"/>
          <w:sz w:val="21"/>
        </w:rPr>
        <w:t>[Editorial change: IAC Supplement 6/11/25]</w:t>
      </w:r>
    </w:p>
    <w:sectPr>
      <w:footerReference r:id="rId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1.pdf" Type="http://schemas.openxmlformats.org/officeDocument/2006/relationships/hyperlink" Id="rId5"/>
    <Relationship TargetMode="External" Target="https://www.legis.iowa.gov/docs/iac/rule/481.617.7.pdf" Type="http://schemas.openxmlformats.org/officeDocument/2006/relationships/hyperlink" Id="rId6"/>
    <Relationship TargetMode="External" Target="https://www.legis.iowa.gov/docs/ico/chapter/272C.2.pdf" Type="http://schemas.openxmlformats.org/officeDocument/2006/relationships/hyperlink" Id="rId7"/>
    <Relationship TargetMode="External" Target="https://www.legis.iowa.gov/docs/ico/chapter/272C.3.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