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618</w:t>
      </w:r>
    </w:p>
    <w:p>
      <w:pPr>
        <w:spacing w:before="0" w:after="0"/>
        <w:ind w:left="120"/>
        <w:jc w:val="center"/>
      </w:pPr>
      <w:r>
        <w:rPr>
          <w:rFonts w:ascii="Times New Roman" w:hAnsi="Times New Roman"/>
          <w:b w:val="false"/>
          <w:i w:val="false"/>
          <w:color w:val="000000"/>
          <w:sz w:val="21"/>
        </w:rPr>
        <w:t>COMPLAINTS, INVESTIGATIONS AND DISCIPLINE</w:t>
      </w:r>
    </w:p>
    <w:p>
      <w:pPr>
        <w:spacing w:before="0" w:after="0"/>
        <w:ind w:left="120"/>
        <w:jc w:val="center"/>
      </w:pPr>
      <w:r>
        <w:rPr>
          <w:rFonts w:ascii="Times New Roman" w:hAnsi="Times New Roman"/>
          <w:b w:val="false"/>
          <w:i w:val="false"/>
          <w:color w:val="000000"/>
          <w:sz w:val="20"/>
        </w:rPr>
        <w:t>[Prior to 5/23/84, IAC, “Disciplinary Proceedings” appeared as Ch 8]</w:t>
      </w:r>
    </w:p>
    <w:p>
      <w:pPr>
        <w:spacing w:before="0" w:after="0"/>
        <w:ind w:left="120"/>
        <w:jc w:val="center"/>
      </w:pPr>
      <w:r>
        <w:rPr>
          <w:rFonts w:ascii="Times New Roman" w:hAnsi="Times New Roman"/>
          <w:b w:val="false"/>
          <w:i w:val="false"/>
          <w:color w:val="000000"/>
          <w:sz w:val="20"/>
        </w:rPr>
        <w:t>[Prior to 5/23/84, “Licensure to Practice—Licensed Practical Nurse” appeared as Ch 4. See Ch 3.]</w:t>
      </w:r>
    </w:p>
    <w:p>
      <w:pPr>
        <w:spacing w:before="0" w:after="0"/>
        <w:ind w:left="120"/>
        <w:jc w:val="center"/>
      </w:pPr>
      <w:r>
        <w:rPr>
          <w:rFonts w:ascii="Times New Roman" w:hAnsi="Times New Roman"/>
          <w:b w:val="false"/>
          <w:i w:val="false"/>
          <w:color w:val="000000"/>
          <w:sz w:val="20"/>
        </w:rPr>
        <w:t>[Prior to 8/26/87, Nursing Board[590] Ch 4]</w:t>
      </w:r>
    </w:p>
    <w:p>
      <w:pPr>
        <w:spacing w:before="0" w:after="0"/>
        <w:ind w:left="120"/>
        <w:jc w:val="center"/>
      </w:pPr>
      <w:r>
        <w:rPr>
          <w:rFonts w:ascii="Times New Roman" w:hAnsi="Times New Roman"/>
          <w:b w:val="false"/>
          <w:i w:val="false"/>
          <w:color w:val="000000"/>
          <w:sz w:val="20"/>
        </w:rPr>
        <w:t>[Prior to 6/11/25, see Nursing Board[655]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481—618.1</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complaint. </w:t>
      </w:r>
      <w:r>
        <w:rPr>
          <w:rFonts w:ascii="Times New Roman" w:hAnsi="Times New Roman"/>
          <w:b w:val="false"/>
          <w:i w:val="false"/>
          <w:color w:val="000000"/>
          <w:sz w:val="22"/>
        </w:rPr>
        <w:t>The complaint will be submitted on the form deemed acceptable by the board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of the allegation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complaint. </w:t>
      </w:r>
      <w:r>
        <w:rPr>
          <w:rFonts w:ascii="Times New Roman" w:hAnsi="Times New Roman"/>
          <w:b w:val="false"/>
          <w:i w:val="false"/>
          <w:color w:val="000000"/>
          <w:sz w:val="22"/>
        </w:rPr>
        <w:t>A written complaint may be delivered in person, by mail  or electronically to the board office.  The office address is Iowa Board of Nursing,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618.1(3)</w:t>
      </w:r>
      <w:r>
        <w:rPr>
          <w:rFonts w:ascii="Times New Roman" w:hAnsi="Times New Roman"/>
          <w:b w:val="false"/>
          <w:i w:val="false"/>
          <w:color w:val="000000"/>
          <w:sz w:val="22"/>
        </w:rPr>
        <w:t> </w:t>
      </w:r>
      <w:r>
        <w:rPr>
          <w:rFonts w:ascii="Times New Roman" w:hAnsi="Times New Roman"/>
          <w:b w:val="false"/>
          <w:i/>
          <w:color w:val="000000"/>
          <w:sz w:val="22"/>
        </w:rPr>
        <w:t xml:space="preserve">Processing complaints. </w:t>
      </w:r>
      <w:r>
        <w:rPr>
          <w:rFonts w:ascii="Times New Roman" w:hAnsi="Times New Roman"/>
          <w:b w:val="false"/>
          <w:i w:val="false"/>
          <w:color w:val="000000"/>
          <w:sz w:val="22"/>
        </w:rPr>
        <w:t>Board staff will open a complaint file upon receiving a complaint or other appropriate information or upon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board rule, staff may close the complaint file administratively without investigation or review by the board.  All other complaints will be sent to case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is part of the licensee’s history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investigation is requested on a file, the complaint file is relabeled as an investigative file. An investigative file is not public record. The investigative file becomes a part of the licensee’s history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618.1(4)</w:t>
      </w:r>
      <w:r>
        <w:rPr>
          <w:rFonts w:ascii="Times New Roman" w:hAnsi="Times New Roman"/>
          <w:b w:val="false"/>
          <w:i w:val="false"/>
          <w:color w:val="000000"/>
          <w:sz w:val="22"/>
        </w:rPr>
        <w:t> </w:t>
      </w:r>
      <w:r>
        <w:rPr>
          <w:rFonts w:ascii="Times New Roman" w:hAnsi="Times New Roman"/>
          <w:b w:val="false"/>
          <w:i/>
          <w:color w:val="000000"/>
          <w:sz w:val="22"/>
        </w:rPr>
        <w:t xml:space="preserve">Case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 review is completed by the executive director, licensing division general counsel,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review team will review each complaint the board has received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the complainant to obtain additional information and return to case review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 closure of the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Recommend the complaint file be flagged for further discussion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618.1(5)</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take the recommendations of the case review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 and the licensee of the decision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618.1(6)</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executive director or a board investigator may conduct an investigation into the allegations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r>
        <w:rPr>
          <w:rFonts w:ascii="Times New Roman" w:hAnsi="Times New Roman"/>
          <w:b w:val="false"/>
          <w:i w:val="false"/>
          <w:color w:val="000000"/>
          <w:sz w:val="22"/>
        </w:rPr>
        <w:t>The executive director or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5">
        <w:r>
          <w:rPr>
            <w:rStyle w:val="Hyperlink"/>
            <w:rFonts w:ascii="Times New Roman" w:hAnsi="Times New Roman"/>
            <w:b w:val="false"/>
            <w:i w:val="false"/>
            <w:color w:val="000000"/>
            <w:sz w:val="22"/>
          </w:rPr>
          <w:t>618.2(3)</w:t>
        </w:r>
      </w:hyperlink>
      <w:r>
        <w:rPr>
          <w:rFonts w:ascii="Times New Roman" w:hAnsi="Times New Roman"/>
          <w:b w:val="false"/>
          <w:i/>
          <w:color w:val="000000"/>
          <w:sz w:val="22"/>
        </w:rPr>
        <w:t>“b”</w:t>
      </w:r>
      <w:r>
        <w:rPr>
          <w:rFonts w:ascii="Times New Roman" w:hAnsi="Times New Roman"/>
          <w:b w:val="false"/>
          <w:i w:val="false"/>
          <w:color w:val="000000"/>
          <w:sz w:val="22"/>
        </w:rPr>
        <w:t>(3)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6">
        <w:r>
          <w:rPr>
            <w:rStyle w:val="Hyperlink"/>
            <w:rFonts w:ascii="Times New Roman" w:hAnsi="Times New Roman"/>
            <w:b w:val="false"/>
            <w:i w:val="false"/>
            <w:color w:val="000000"/>
            <w:sz w:val="22"/>
          </w:rPr>
          <w:t>618.1(6)</w:t>
        </w:r>
      </w:hyperlink>
      <w:r>
        <w:rPr>
          <w:rFonts w:ascii="Times New Roman" w:hAnsi="Times New Roman"/>
          <w:b w:val="false"/>
          <w:i/>
          <w:color w:val="000000"/>
          <w:sz w:val="22"/>
        </w:rPr>
        <w:t>“b”</w:t>
      </w:r>
      <w:r>
        <w:rPr>
          <w:rFonts w:ascii="Times New Roman" w:hAnsi="Times New Roman"/>
          <w:b w:val="false"/>
          <w:i w:val="false"/>
          <w:color w:val="000000"/>
          <w:sz w:val="22"/>
        </w:rPr>
        <w:t>(2). The board will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and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481—618.2</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Board action. </w:t>
      </w:r>
      <w:r>
        <w:rPr>
          <w:rFonts w:ascii="Times New Roman" w:hAnsi="Times New Roman"/>
          <w:b w:val="false"/>
          <w:i w:val="false"/>
          <w:color w:val="000000"/>
          <w:sz w:val="22"/>
        </w:rPr>
        <w:t>When reviewing complaints and investigative material,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618.2(1)</w:t>
      </w:r>
      <w:r>
        <w:rPr>
          <w:rFonts w:ascii="Times New Roman" w:hAnsi="Times New Roman"/>
          <w:b w:val="false"/>
          <w:i w:val="false"/>
          <w:color w:val="000000"/>
          <w:sz w:val="22"/>
        </w:rPr>
        <w:t> </w:t>
      </w:r>
      <w:r>
        <w:rPr>
          <w:rFonts w:ascii="Times New Roman" w:hAnsi="Times New Roman"/>
          <w:b w:val="false"/>
          <w:i w:val="false"/>
          <w:color w:val="000000"/>
          <w:sz w:val="22"/>
        </w:rPr>
        <w:t>Close the case without further action. The board will notify the complainant and the licensee of the decision by letter. The board may reconsider and reopen a closed complaint or investigative file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618.2(2)</w:t>
      </w:r>
      <w:r>
        <w:rPr>
          <w:rFonts w:ascii="Times New Roman" w:hAnsi="Times New Roman"/>
          <w:b w:val="false"/>
          <w:i w:val="false"/>
          <w:color w:val="000000"/>
          <w:sz w:val="22"/>
        </w:rPr>
        <w:t> </w:t>
      </w:r>
      <w:r>
        <w:rPr>
          <w:rFonts w:ascii="Times New Roman" w:hAnsi="Times New Roman"/>
          <w:b w:val="false"/>
          <w:i w:val="false"/>
          <w:color w:val="000000"/>
          <w:sz w:val="22"/>
        </w:rPr>
        <w:t xml:space="preserve">Close the case and issue an informal letter of warning or education. A letter of warning or education is an informal communication between the board and the licensee and is not formal disciplinary action or a public document. Letters of warning or education are not open for inspection under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will maintain a copy of confidential letters of warning and education in the licensee’s confidential investigative file. Confidential letters of warning and education may be used as evidence against a licensee in future contested case hearings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a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618.2(4)</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probable cause and issue a notice of hearing and statement of charges or approve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618.2(5)</w:t>
      </w:r>
      <w:r>
        <w:rPr>
          <w:rFonts w:ascii="Times New Roman" w:hAnsi="Times New Roman"/>
          <w:b w:val="false"/>
          <w:i w:val="false"/>
          <w:color w:val="000000"/>
          <w:sz w:val="22"/>
        </w:rPr>
        <w:t> </w:t>
      </w:r>
      <w:r>
        <w:rPr>
          <w:rFonts w:ascii="Times New Roman" w:hAnsi="Times New Roman"/>
          <w:b w:val="false"/>
          <w:i w:val="false"/>
          <w:color w:val="000000"/>
          <w:sz w:val="22"/>
        </w:rPr>
        <w:t>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licensing division general counsel participates in the appearance, the licensee further waives any objection to having the executive director or licensing division general counsel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618.2(6)</w:t>
      </w:r>
      <w:r>
        <w:rPr>
          <w:rFonts w:ascii="Times New Roman" w:hAnsi="Times New Roman"/>
          <w:b w:val="false"/>
          <w:i w:val="false"/>
          <w:color w:val="000000"/>
          <w:sz w:val="22"/>
        </w:rPr>
        <w:t> </w:t>
      </w:r>
      <w:r>
        <w:rPr>
          <w:rFonts w:ascii="Times New Roman" w:hAnsi="Times New Roman"/>
          <w:b w:val="false"/>
          <w:i w:val="false"/>
          <w:color w:val="000000"/>
          <w:sz w:val="22"/>
        </w:rPr>
        <w:t>All investigative information obtained by the board or its employees or agents, including peer reviewers acting under the authority of the board, in the investigative process is privileged and confidential.  Board investigative information is not subject to discovery, subpoena, or other means of legal compulsion for its release to any person other than the licensee and the board or its employees and agents and is not admissible in evidence in any judicial or administrative proceeding other than the proceeding involving licensee discipline.  However, the statement of charges, settlement agreement, or decision of the board in a contested case disciplinary proceeding is an open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Any case may be referred to peer review for evaluation of the professional services rendered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618.3(1)</w:t>
      </w:r>
      <w:r>
        <w:rPr>
          <w:rFonts w:ascii="Times New Roman" w:hAnsi="Times New Roman"/>
          <w:b w:val="false"/>
          <w:i w:val="false"/>
          <w:color w:val="000000"/>
          <w:sz w:val="22"/>
        </w:rPr>
        <w:t> </w:t>
      </w:r>
      <w:r>
        <w:rPr>
          <w:rFonts w:ascii="Times New Roman" w:hAnsi="Times New Roman"/>
          <w:b w:val="false"/>
          <w:i/>
          <w:color w:val="000000"/>
          <w:sz w:val="22"/>
        </w:rPr>
        <w:t xml:space="preserve">Contract and case referral. </w:t>
      </w:r>
      <w:r>
        <w:rPr>
          <w:rFonts w:ascii="Times New Roman" w:hAnsi="Times New Roman"/>
          <w:b w:val="false"/>
          <w:i w:val="false"/>
          <w:color w:val="000000"/>
          <w:sz w:val="22"/>
        </w:rPr>
        <w:t>The board will enter into a contract with peer reviewers to provide peer review services. The board or board staff determine which peer reviewer(s) will review a case and what investigative information is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Peer reviewers shall review the information provided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contain a statement of facts, an opinion of the peer reviewer whether the licensee conformed to minimum standards of acceptable and prevailing practice of nursing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the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Iowa Code section </w:t>
      </w:r>
      <w:hyperlink r:id="rId10">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credentials, or records submitted to the board for licensure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Impersonating any applicant in any examination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lack of knowledge, skill, or ability to discharge professional obligations within the scope of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from the standards of learning, education, or skill ordinarily possessed and applied by other licensees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 or repeated departure from or failure to conform to the minimum standards of acceptable and prevailing practice of nursing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nursing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within the scope of current licensure or level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11">
        <w:r>
          <w:rPr>
            <w:rStyle w:val="Hyperlink"/>
            <w:rFonts w:ascii="Times New Roman" w:hAnsi="Times New Roman"/>
            <w:b w:val="false"/>
            <w:i w:val="false"/>
            <w:color w:val="000000"/>
            <w:sz w:val="22"/>
          </w:rPr>
          <w:t>481—Chapter 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12">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Iowa Code chapter </w:t>
      </w:r>
      <w:hyperlink r:id="rId13">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618.4(3)</w:t>
      </w:r>
      <w:r>
        <w:rPr>
          <w:rFonts w:ascii="Times New Roman" w:hAnsi="Times New Roman"/>
          <w:b w:val="false"/>
          <w:i w:val="false"/>
          <w:color w:val="000000"/>
          <w:sz w:val="22"/>
        </w:rPr>
        <w:t> </w:t>
      </w:r>
      <w:r>
        <w:rPr>
          <w:rFonts w:ascii="Times New Roman" w:hAnsi="Times New Roman"/>
          <w:b w:val="false"/>
          <w:i w:val="false"/>
          <w:color w:val="000000"/>
          <w:sz w:val="22"/>
        </w:rPr>
        <w:t>Behavior that constitutes knowingly making misleading, deceptive, untrue, or fraudulent representations in the practice of a profession,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or written misrepresentation relating to degrees, credentials, licensure status, records, and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Falsifying records related to nursing practice or knowingly permitting the use of falsified information in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618.4(4)</w:t>
      </w:r>
      <w:r>
        <w:rPr>
          <w:rFonts w:ascii="Times New Roman" w:hAnsi="Times New Roman"/>
          <w:b w:val="false"/>
          <w:i w:val="false"/>
          <w:color w:val="000000"/>
          <w:sz w:val="22"/>
        </w:rPr>
        <w:t> </w:t>
      </w:r>
      <w:r>
        <w:rPr>
          <w:rFonts w:ascii="Times New Roman" w:hAnsi="Times New Roman"/>
          <w:b w:val="false"/>
          <w:i w:val="false"/>
          <w:color w:val="000000"/>
          <w:sz w:val="22"/>
        </w:rPr>
        <w:t>Behavior that constitutes unethical conduct or practice harmful or detrimental to the public,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Performing nursing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nursing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nursing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Committing an act or omission that may adversely affect the physical or psychosocial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Committing an act that causes physical, emotional, or financial injury to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report to, or leaving, a nursing assignment without properly notifying appropriate supervisory personnel and ensuring the safety and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patient or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patient, client,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nursing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report suspected wrongful acts or omissions committed by a licensee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For an advanced registered nurse practitioner, prescribing, dispensing, administering, or distributing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it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patients or who are outside of the licensee’s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repeated verbal or physical conduct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Failing to properly document or perform medication wastage.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618.4(5)</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“patient” is defined to include the patient and the patient’s family or caretakers who are present with the patient while the patient is under the care of the licensee. Behavior that constitutes unethical conduct or practice harmful or detrimental to the public includes but is not limited to professional boundaries violations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Sexual contact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lewd, suggestive, demeaning, or otherwise sexual comments,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emotional, social, or business relationship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Soliciting, borrowing, or misappropriating money or property from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Repeatedly divulging personal information to a patient for nontherapeutic purposes,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patient when there is a risk of exploitation or harm to the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618.4(6)</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618.4(7)</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618.4(8)</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618.4(9)</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provisions of Iowa Code chapter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618.4(10)</w:t>
      </w:r>
      <w:r>
        <w:rPr>
          <w:rFonts w:ascii="Times New Roman" w:hAnsi="Times New Roman"/>
          <w:b w:val="false"/>
          <w:i w:val="false"/>
          <w:color w:val="000000"/>
          <w:sz w:val="22"/>
        </w:rPr>
        <w:t> </w:t>
      </w:r>
      <w:r>
        <w:rPr>
          <w:rFonts w:ascii="Times New Roman" w:hAnsi="Times New Roman"/>
          <w:b w:val="false"/>
          <w:i w:val="false"/>
          <w:color w:val="000000"/>
          <w:sz w:val="22"/>
        </w:rPr>
        <w:t>Other acts or offenses as specified by board rule,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respond to the board during a board audit or submit verification of compliance with the requirements for the supervision of fluoroscopy set forth in </w:t>
      </w:r>
      <w:hyperlink r:id="rId17">
        <w:r>
          <w:rPr>
            <w:rStyle w:val="Hyperlink"/>
            <w:rFonts w:ascii="Times New Roman" w:hAnsi="Times New Roman"/>
            <w:b w:val="false"/>
            <w:i w:val="false"/>
            <w:color w:val="000000"/>
            <w:sz w:val="22"/>
          </w:rPr>
          <w:t>481—subrule 621.4(5)</w:t>
        </w:r>
      </w:hyperlink>
      <w:r>
        <w:rPr>
          <w:rFonts w:ascii="Times New Roman" w:hAnsi="Times New Roman"/>
          <w:b w:val="false"/>
          <w:i w:val="false"/>
          <w:color w:val="000000"/>
          <w:sz w:val="22"/>
        </w:rPr>
        <w:t xml:space="preserve">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Violating an initial agreement or contract with the Iowa professional health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618.4(11)</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nursing in Iowa prior to licensure or not pursuant to the nurse licensure compact or engaging in practice of nursing in Iowa on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8">
        <w:r>
          <w:rPr>
            <w:rStyle w:val="Hyperlink"/>
            <w:rFonts w:ascii="Times New Roman" w:hAnsi="Times New Roman"/>
            <w:b w:val="false"/>
            <w:i w:val="false"/>
            <w:color w:val="000000"/>
            <w:sz w:val="22"/>
          </w:rPr>
          <w:t>152.10(2)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while knowingly having an infectious or contagious disease that could be harmful to a patient’s welfare without taking precautions to meet the current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Having a license to practice nursing as a registered nurse, licensed practical/vocational nurse, or advanced registered nurse practitioner revoked or suspended, or having other disciplinary action taken, by a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license to practice nursing as a registered nurse, licensed practical/vocational nurse, or advanced registered nurse practitioner revoked or suspended, or having other disciplinary action taken, by a licensing authority in another state that has adopted the nurse licensure compact contained in Iowa Code section </w:t>
      </w:r>
      <w:hyperlink r:id="rId19">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 xml:space="preserve"> or the advanced practice registered nurse compact contained in Iowa Code section </w:t>
      </w:r>
      <w:hyperlink r:id="rId20">
        <w:r>
          <w:rPr>
            <w:rStyle w:val="Hyperlink"/>
            <w:rFonts w:ascii="Times New Roman" w:hAnsi="Times New Roman"/>
            <w:b w:val="false"/>
            <w:i w:val="false"/>
            <w:color w:val="000000"/>
            <w:sz w:val="22"/>
          </w:rPr>
          <w:t>152E.3</w:t>
        </w:r>
      </w:hyperlink>
      <w:r>
        <w:rPr>
          <w:rFonts w:ascii="Times New Roman" w:hAnsi="Times New Roman"/>
          <w:b w:val="false"/>
          <w:i w:val="false"/>
          <w:color w:val="000000"/>
          <w:sz w:val="22"/>
        </w:rPr>
        <w:t xml:space="preserve"> and that has communicated information relating to such action pursuant to the coordinated licensure information system established by the compact. If the action taken by the licensing authority occurs in a jurisdiction that does not afford the procedural protections of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the licensee may object to the communicated information and shall be afforded the procedural protections of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advising, or allowing a person to unlawfully practice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adjudicated mentally incompetent by a court of competent jurisdiction. Such adjudication shall automatically suspend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unable to practice nursing with reasonable skill and safety by reason of illness or as a result of a mental or physical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A voluntary surrender of licensure may be submitted to the board as resolution of a contested case or in lieu of continued compliance with a disciplinary decision of the board. A voluntary surrender, when accepted by the board, has the same force and effect as an order of revocation. A voluntary surrender of a license during the pendency of a complaint or investigation shall be considered discipline and shall have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481—618.6</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618.6(1)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and costs assessed by the board pursuant to Iowa Code section </w:t>
      </w:r>
      <w:hyperlink r:id="rId23">
        <w:r>
          <w:rPr>
            <w:rStyle w:val="Hyperlink"/>
            <w:rFonts w:ascii="Times New Roman" w:hAnsi="Times New Roman"/>
            <w:b w:val="false"/>
            <w:i w:val="false"/>
            <w:color w:val="000000"/>
            <w:sz w:val="22"/>
          </w:rPr>
          <w:t>272C.6(6)</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calculated by the board’s executive director and be entered as part of the board’s final disciplinary order. The board’s final disciplinary order will specify the time period in which the fees and costs shall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618.6(2)</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pay the fees and costs assessed herein in the time specified in the board’s final disciplinary order may constitute a violation of a lawful order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12/3/76, Notice 10/6/76—published 12/29/76, effective 2/2/77]</w:t>
      </w:r>
    </w:p>
    <w:p>
      <w:pPr>
        <w:spacing w:before="0" w:after="0"/>
        <w:ind w:left="120"/>
        <w:jc w:val="center"/>
      </w:pPr>
      <w:r>
        <w:rPr>
          <w:rFonts w:ascii="Times New Roman" w:hAnsi="Times New Roman"/>
          <w:b w:val="false"/>
          <w:i w:val="false"/>
          <w:color w:val="000000"/>
          <w:sz w:val="21"/>
        </w:rPr>
        <w:t>[Filed 3/9/77, Notice 12/29/76—published 4/6/77, effective 5/11/77]</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8/25/80, Notice 4/16/80—published 9/17/80, effective 10/22/80]</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6/9/88, Notice 4/20/88—published 6/29/88, effective 8/3/88]</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3/9/94, Notice 1/5/94—published 3/30/94, effective 5/4/94]</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10/2/96, Notice 7/31/96—published 10/23/96, effective 11/27/96]</w:t>
      </w:r>
    </w:p>
    <w:p>
      <w:pPr>
        <w:spacing w:before="0" w:after="0"/>
        <w:ind w:left="120"/>
        <w:jc w:val="center"/>
      </w:pPr>
      <w:r>
        <w:rPr>
          <w:rFonts w:ascii="Times New Roman" w:hAnsi="Times New Roman"/>
          <w:b w:val="false"/>
          <w:i w:val="false"/>
          <w:color w:val="000000"/>
          <w:sz w:val="21"/>
        </w:rPr>
        <w:t>[Filed 9/26/97, Notice 7/2/97—published 10/22/97, effective 11/26/97]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6/7/02, Notice 3/20/02—published 6/26/02, effective 7/31/02]</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6/16/05, Notice 4/13/05—published 7/6/05, effective 8/10/05]</w:t>
      </w:r>
    </w:p>
    <w:p>
      <w:pPr>
        <w:spacing w:before="0" w:after="0"/>
        <w:ind w:left="120"/>
        <w:jc w:val="center"/>
      </w:pPr>
      <w:r>
        <w:rPr>
          <w:rFonts w:ascii="Times New Roman" w:hAnsi="Times New Roman"/>
          <w:b w:val="false"/>
          <w:i w:val="false"/>
          <w:color w:val="000000"/>
          <w:sz w:val="21"/>
        </w:rPr>
        <w:t>[Filed 9/8/06, Notice 8/2/06—published 9/27/06, effective 11/1/06]</w:t>
      </w:r>
    </w:p>
    <w:p>
      <w:pPr>
        <w:spacing w:before="0" w:after="0"/>
        <w:ind w:left="120"/>
        <w:jc w:val="center"/>
      </w:pPr>
      <w:r>
        <w:rPr>
          <w:rFonts w:ascii="Times New Roman" w:hAnsi="Times New Roman"/>
          <w:b w:val="false"/>
          <w:i w:val="false"/>
          <w:color w:val="000000"/>
          <w:sz w:val="21"/>
        </w:rPr>
        <w:t>[Filed ARC 8809B</w:t>
      </w:r>
      <w:r>
        <w:rPr>
          <w:rFonts w:ascii="Times New Roman" w:hAnsi="Times New Roman"/>
          <w:b w:val="false"/>
          <w:i w:val="false"/>
          <w:color w:val="000000"/>
          <w:sz w:val="21"/>
        </w:rPr>
        <w:t xml:space="preserve"> (Notice ARC 8674B,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0084C</w:t>
      </w:r>
      <w:r>
        <w:rPr>
          <w:rFonts w:ascii="Times New Roman" w:hAnsi="Times New Roman"/>
          <w:b w:val="false"/>
          <w:i w:val="false"/>
          <w:color w:val="000000"/>
          <w:sz w:val="21"/>
        </w:rPr>
        <w:t xml:space="preserve"> (Notice ARC 9622B, IAB 7/27/11; </w:t>
      </w:r>
      <w:r>
        <w:rPr>
          <w:rFonts w:ascii="Times New Roman" w:hAnsi="Times New Roman"/>
          <w:b w:val="false"/>
          <w:i w:val="false"/>
          <w:color w:val="000000"/>
          <w:sz w:val="21"/>
        </w:rPr>
        <w:t>Amended Notice ARC 9867B, IAB 11/30/11)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4755C</w:t>
      </w:r>
      <w:r>
        <w:rPr>
          <w:rFonts w:ascii="Times New Roman" w:hAnsi="Times New Roman"/>
          <w:b w:val="false"/>
          <w:i w:val="false"/>
          <w:color w:val="000000"/>
          <w:sz w:val="21"/>
        </w:rPr>
        <w:t xml:space="preserve"> (Notice ARC 4597C,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6198C</w:t>
      </w:r>
      <w:r>
        <w:rPr>
          <w:rFonts w:ascii="Times New Roman" w:hAnsi="Times New Roman"/>
          <w:b w:val="false"/>
          <w:i w:val="false"/>
          <w:color w:val="000000"/>
          <w:sz w:val="21"/>
        </w:rPr>
        <w:t xml:space="preserve"> (Notice ARC 6049C, IAB 11/17/21)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9161C</w:t>
      </w:r>
      <w:r>
        <w:rPr>
          <w:rFonts w:ascii="Times New Roman" w:hAnsi="Times New Roman"/>
          <w:b w:val="false"/>
          <w:i w:val="false"/>
          <w:color w:val="000000"/>
          <w:sz w:val="21"/>
        </w:rPr>
        <w:t xml:space="preserve"> (Notice ARC 8763C,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618.2.pdf" Type="http://schemas.openxmlformats.org/officeDocument/2006/relationships/hyperlink" Id="rId5"/>
    <Relationship TargetMode="External" Target="https://www.legis.iowa.gov/docs/iac/rule/655.618.1.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147.55.pdf" Type="http://schemas.openxmlformats.org/officeDocument/2006/relationships/hyperlink" Id="rId10"/>
    <Relationship TargetMode="External" Target="https://www.legis.iowa.gov/docs/iac/chapter/481.620.pdf" Type="http://schemas.openxmlformats.org/officeDocument/2006/relationships/hyperlink" Id="rId11"/>
    <Relationship TargetMode="External" Target="https://www.legis.iowa.gov/docs/iac/chapter/481.621.pdf" Type="http://schemas.openxmlformats.org/officeDocument/2006/relationships/hyperlink" Id="rId12"/>
    <Relationship TargetMode="External" Target="https://www.legis.iowa.gov/docs/ico/chapter/139A.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52.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rule/481.621.4.pdf" Type="http://schemas.openxmlformats.org/officeDocument/2006/relationships/hyperlink" Id="rId17"/>
    <Relationship TargetMode="External" Target="https://www.legis.iowa.gov/docs/ico/chapter/152.10.pdf" Type="http://schemas.openxmlformats.org/officeDocument/2006/relationships/hyperlink" Id="rId18"/>
    <Relationship TargetMode="External" Target="https://www.legis.iowa.gov/docs/ico/chapter/152E.1.pdf" Type="http://schemas.openxmlformats.org/officeDocument/2006/relationships/hyperlink" Id="rId19"/>
    <Relationship TargetMode="External" Target="https://www.legis.iowa.gov/docs/ico/chapter/152E.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6.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2.pdf" Type="http://schemas.openxmlformats.org/officeDocument/2006/relationships/hyperlink" Id="rId26"/>
    <Relationship TargetMode="External" Target="https://www.legis.iowa.gov/docs/ico/chapter/272C.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