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617</w:t>
      </w:r>
    </w:p>
    <w:p>
      <w:pPr>
        <w:spacing w:before="0" w:after="0"/>
        <w:ind w:left="120"/>
        <w:jc w:val="center"/>
      </w:pPr>
      <w:r>
        <w:rPr>
          <w:rFonts w:ascii="Times New Roman" w:hAnsi="Times New Roman"/>
          <w:b w:val="false"/>
          <w:i w:val="false"/>
          <w:color w:val="000000"/>
          <w:sz w:val="21"/>
        </w:rPr>
        <w:t>LICENSURE TO PRACTICE—REGISTERED NURSE/LICENSED PRACTICAL NURSE</w:t>
      </w:r>
    </w:p>
    <w:p>
      <w:pPr>
        <w:spacing w:before="0" w:after="0"/>
        <w:ind w:left="120"/>
        <w:jc w:val="center"/>
      </w:pPr>
      <w:r>
        <w:rPr>
          <w:rFonts w:ascii="Times New Roman" w:hAnsi="Times New Roman"/>
          <w:b w:val="false"/>
          <w:i w:val="false"/>
          <w:color w:val="000000"/>
          <w:sz w:val="20"/>
        </w:rPr>
        <w:t>[Prior to 6/11/25, see Nursing Board[655]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6/4/30</w:t>
      </w:r>
    </w:p>
    <w:p>
      <w:pPr>
        <w:spacing w:before="0" w:after="0"/>
        <w:ind w:left="120"/>
        <w:jc w:val="both"/>
      </w:pPr>
      <w:r>
        <w:rPr>
          <w:rFonts w:ascii="Times New Roman" w:hAnsi="Times New Roman"/>
          <w:b/>
          <w:i w:val="false"/>
          <w:color w:val="000000"/>
          <w:sz w:val="22"/>
        </w:rPr>
        <w:t>481—617.1</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nursing program”</w:t>
      </w:r>
      <w:r>
        <w:rPr>
          <w:rFonts w:ascii="Times New Roman" w:hAnsi="Times New Roman"/>
          <w:b w:val="false"/>
          <w:i w:val="false"/>
          <w:color w:val="000000"/>
          <w:sz w:val="22"/>
        </w:rPr>
        <w:t> </w:t>
      </w:r>
      <w:r>
        <w:rPr>
          <w:rFonts w:ascii="Times New Roman" w:hAnsi="Times New Roman"/>
          <w:b w:val="false"/>
          <w:i w:val="false"/>
          <w:color w:val="000000"/>
          <w:sz w:val="22"/>
        </w:rPr>
        <w:t>means a nursing education program whose status has been recognized by the board or by a similar board in another jurisdiction that prepares individuals for licensure as a licensed practical nurse, registered nurse, or advanced registered nurse practitioner; or grants a baccalaureate, master’s or doctorate degree with a major in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“CGFNS”</w:t>
      </w:r>
      <w:r>
        <w:rPr>
          <w:rFonts w:ascii="Times New Roman" w:hAnsi="Times New Roman"/>
          <w:b w:val="false"/>
          <w:i w:val="false"/>
          <w:color w:val="000000"/>
          <w:sz w:val="22"/>
        </w:rPr>
        <w:t> </w:t>
      </w:r>
      <w:r>
        <w:rPr>
          <w:rFonts w:ascii="Times New Roman" w:hAnsi="Times New Roman"/>
          <w:b w:val="false"/>
          <w:i w:val="false"/>
          <w:color w:val="000000"/>
          <w:sz w:val="22"/>
        </w:rPr>
        <w:t>means the Commission on Graduates of Foreign Nursing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“Inactive license”</w:t>
      </w:r>
      <w:r>
        <w:rPr>
          <w:rFonts w:ascii="Times New Roman" w:hAnsi="Times New Roman"/>
          <w:b w:val="false"/>
          <w:i w:val="false"/>
          <w:color w:val="000000"/>
          <w:sz w:val="22"/>
        </w:rPr>
        <w:t> </w:t>
      </w:r>
      <w:r>
        <w:rPr>
          <w:rFonts w:ascii="Times New Roman" w:hAnsi="Times New Roman"/>
          <w:b w:val="false"/>
          <w:i w:val="false"/>
          <w:color w:val="000000"/>
          <w:sz w:val="22"/>
        </w:rPr>
        <w:t>means a registered nurse or licensed practical nurse license that has been placed on inactive status because it was not renewed by the fifteenth day of the month following the expiration date or means that the board has received notification that a licensee has declared another compact state as the primary state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 license”</w:t>
      </w:r>
      <w:r>
        <w:rPr>
          <w:rFonts w:ascii="Times New Roman" w:hAnsi="Times New Roman"/>
          <w:b w:val="false"/>
          <w:i w:val="false"/>
          <w:color w:val="000000"/>
          <w:sz w:val="22"/>
        </w:rPr>
        <w:t> </w:t>
      </w:r>
      <w:r>
        <w:rPr>
          <w:rFonts w:ascii="Times New Roman" w:hAnsi="Times New Roman"/>
          <w:b w:val="false"/>
          <w:i w:val="false"/>
          <w:color w:val="000000"/>
          <w:sz w:val="22"/>
        </w:rPr>
        <w:t>means a registered nurse or licensed practical nurse license that has not been renewed by the expiration date. The time between the expiration date and the fifteenth day of the month following the expiration date is considered a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issued a license to practice as a registered nurse, licensed practical nurse or advanced registered nurse practitioner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“Multistate license”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license to practice as a registered nurse or licensed practical nurse issued to a qualified person under Iowa Code chapter </w:t>
      </w:r>
      <w:hyperlink r:id="rId5">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that authorizes the holder to practice in all party states under a multistate licensure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“Multistate licensure privilege”</w:t>
      </w:r>
      <w:r>
        <w:rPr>
          <w:rFonts w:ascii="Times New Roman" w:hAnsi="Times New Roman"/>
          <w:b w:val="false"/>
          <w:i w:val="false"/>
          <w:color w:val="000000"/>
          <w:sz w:val="22"/>
        </w:rPr>
        <w:t> </w:t>
      </w:r>
      <w:r>
        <w:rPr>
          <w:rFonts w:ascii="Times New Roman" w:hAnsi="Times New Roman"/>
          <w:b w:val="false"/>
          <w:i w:val="false"/>
          <w:color w:val="000000"/>
          <w:sz w:val="22"/>
        </w:rPr>
        <w:t>means a legal authorization associated with a multistate license permitting the practice of nursing as either a registered nurse or a licensed practical nurse in a party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“NCSBN”</w:t>
      </w:r>
      <w:r>
        <w:rPr>
          <w:rFonts w:ascii="Times New Roman" w:hAnsi="Times New Roman"/>
          <w:b w:val="false"/>
          <w:i w:val="false"/>
          <w:color w:val="000000"/>
          <w:sz w:val="22"/>
        </w:rPr>
        <w:t> </w:t>
      </w:r>
      <w:r>
        <w:rPr>
          <w:rFonts w:ascii="Times New Roman" w:hAnsi="Times New Roman"/>
          <w:b w:val="false"/>
          <w:i w:val="false"/>
          <w:color w:val="000000"/>
          <w:sz w:val="22"/>
        </w:rPr>
        <w:t>means the National Council of State Boards of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licensure compact”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agreement between party states, as set forth in Iowa Code chapter </w:t>
      </w:r>
      <w:hyperlink r:id="rId6">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to allow mutual recognition of a nursing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payment in excess of the required fee. An overpayment less than $10 received by the board shall not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 state”</w:t>
      </w:r>
      <w:r>
        <w:rPr>
          <w:rFonts w:ascii="Times New Roman" w:hAnsi="Times New Roman"/>
          <w:b w:val="false"/>
          <w:i w:val="false"/>
          <w:color w:val="000000"/>
          <w:sz w:val="22"/>
        </w:rPr>
        <w:t> </w:t>
      </w:r>
      <w:r>
        <w:rPr>
          <w:rFonts w:ascii="Times New Roman" w:hAnsi="Times New Roman"/>
          <w:b w:val="false"/>
          <w:i w:val="false"/>
          <w:color w:val="000000"/>
          <w:sz w:val="22"/>
        </w:rPr>
        <w:t>means any state that has adopted the nurse licensure compact.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481—617.2</w:t>
      </w:r>
      <w:r>
        <w:rPr>
          <w:rFonts w:ascii="Times New Roman" w:hAnsi="Times New Roman"/>
          <w:b/>
          <w:i w:val="false"/>
          <w:color w:val="000000"/>
          <w:sz w:val="22"/>
        </w:rPr>
        <w:t xml:space="preserve">(17A,147,152,152E,272C) </w:t>
      </w:r>
      <w:r>
        <w:rPr>
          <w:rFonts w:ascii="Times New Roman" w:hAnsi="Times New Roman"/>
          <w:b/>
          <w:i w:val="false"/>
          <w:color w:val="000000"/>
          <w:sz w:val="22"/>
        </w:rPr>
        <w:t xml:space="preserve">Fees for licensure. </w:t>
      </w:r>
      <w:r>
        <w:rPr>
          <w:rFonts w:ascii="Times New Roman" w:hAnsi="Times New Roman"/>
          <w:b w:val="false"/>
          <w:i w:val="false"/>
          <w:color w:val="000000"/>
          <w:sz w:val="22"/>
        </w:rPr>
        <w:t>The following fees apply for licensure of registered nurses (RN), licensed practical nurses (LPN), and advanced registered nurse practitioners (ARNP):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w:t>
      </w:r>
      <w:r>
        <w:rPr>
          <w:rFonts w:ascii="Times New Roman" w:hAnsi="Times New Roman"/>
          <w:b w:val="false"/>
          <w:i w:val="false"/>
          <w:color w:val="000000"/>
          <w:sz w:val="22"/>
        </w:rPr>
        <w:t> </w:t>
      </w:r>
      <w:r>
        <w:rPr>
          <w:rFonts w:ascii="Times New Roman" w:hAnsi="Times New Roman"/>
          <w:b w:val="false"/>
          <w:i w:val="false"/>
          <w:color w:val="000000"/>
          <w:sz w:val="22"/>
        </w:rPr>
        <w:t>Application for an initial license based on the registered nurse examination, $93 (plus the fee for evaluation of the fingerprint cards and the criminal history background checks by the Iowa division of criminal investigation (DCI) and the Federal Bureau of Investigation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617.2(2)</w:t>
      </w:r>
      <w:r>
        <w:rPr>
          <w:rFonts w:ascii="Times New Roman" w:hAnsi="Times New Roman"/>
          <w:b w:val="false"/>
          <w:i w:val="false"/>
          <w:color w:val="000000"/>
          <w:sz w:val="22"/>
        </w:rPr>
        <w:t> </w:t>
      </w:r>
      <w:r>
        <w:rPr>
          <w:rFonts w:ascii="Times New Roman" w:hAnsi="Times New Roman"/>
          <w:b w:val="false"/>
          <w:i w:val="false"/>
          <w:color w:val="000000"/>
          <w:sz w:val="22"/>
        </w:rPr>
        <w:t>Application for an original license based on the practical nurse examination, $93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617.2(3)</w:t>
      </w:r>
      <w:r>
        <w:rPr>
          <w:rFonts w:ascii="Times New Roman" w:hAnsi="Times New Roman"/>
          <w:b w:val="false"/>
          <w:i w:val="false"/>
          <w:color w:val="000000"/>
          <w:sz w:val="22"/>
        </w:rPr>
        <w:t> </w:t>
      </w:r>
      <w:r>
        <w:rPr>
          <w:rFonts w:ascii="Times New Roman" w:hAnsi="Times New Roman"/>
          <w:b w:val="false"/>
          <w:i w:val="false"/>
          <w:color w:val="000000"/>
          <w:sz w:val="22"/>
        </w:rPr>
        <w:t>Application for RN/LPN license by endorsement, $119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617.2(4)</w:t>
      </w:r>
      <w:r>
        <w:rPr>
          <w:rFonts w:ascii="Times New Roman" w:hAnsi="Times New Roman"/>
          <w:b w:val="false"/>
          <w:i w:val="false"/>
          <w:color w:val="000000"/>
          <w:sz w:val="22"/>
        </w:rPr>
        <w:t> </w:t>
      </w:r>
      <w:r>
        <w:rPr>
          <w:rFonts w:ascii="Times New Roman" w:hAnsi="Times New Roman"/>
          <w:b w:val="false"/>
          <w:i w:val="false"/>
          <w:color w:val="000000"/>
          <w:sz w:val="22"/>
        </w:rPr>
        <w:t>Application for an initial license, renewal, or both of an ARNP, $81 for any period of licensure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617.2(5)</w:t>
      </w:r>
      <w:r>
        <w:rPr>
          <w:rFonts w:ascii="Times New Roman" w:hAnsi="Times New Roman"/>
          <w:b w:val="false"/>
          <w:i w:val="false"/>
          <w:color w:val="000000"/>
          <w:sz w:val="22"/>
        </w:rPr>
        <w:t> </w:t>
      </w:r>
      <w:r>
        <w:rPr>
          <w:rFonts w:ascii="Times New Roman" w:hAnsi="Times New Roman"/>
          <w:b w:val="false"/>
          <w:i w:val="false"/>
          <w:color w:val="000000"/>
          <w:sz w:val="22"/>
        </w:rPr>
        <w:t>Certified statement that an RN/LPN is licensed in this state or registered as an ARNP,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617.2(6)</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as an RN/LPN, $175 for a license lasting more than 24 months up to 36 months (plus the fee for evaluation of the fingerprint cards and the criminal history background checks by the Iowa DCI and the FBI).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617.2(7)</w:t>
      </w:r>
      <w:r>
        <w:rPr>
          <w:rFonts w:ascii="Times New Roman" w:hAnsi="Times New Roman"/>
          <w:b w:val="false"/>
          <w:i w:val="false"/>
          <w:color w:val="000000"/>
          <w:sz w:val="22"/>
        </w:rPr>
        <w:t> </w:t>
      </w:r>
      <w:r>
        <w:rPr>
          <w:rFonts w:ascii="Times New Roman" w:hAnsi="Times New Roman"/>
          <w:b w:val="false"/>
          <w:i w:val="false"/>
          <w:color w:val="000000"/>
          <w:sz w:val="22"/>
        </w:rPr>
        <w:t>Reactivation of a license to practice as an ARNP, $81 for any licensing period up to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617.2(8)</w:t>
      </w:r>
      <w:r>
        <w:rPr>
          <w:rFonts w:ascii="Times New Roman" w:hAnsi="Times New Roman"/>
          <w:b w:val="false"/>
          <w:i w:val="false"/>
          <w:color w:val="000000"/>
          <w:sz w:val="22"/>
        </w:rPr>
        <w:t> </w:t>
      </w:r>
      <w:r>
        <w:rPr>
          <w:rFonts w:ascii="Times New Roman" w:hAnsi="Times New Roman"/>
          <w:b w:val="false"/>
          <w:i w:val="false"/>
          <w:color w:val="000000"/>
          <w:sz w:val="22"/>
        </w:rPr>
        <w:t>Renewal of a license to practice as an RN/LPN, $99 for a three-year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617.2(9)</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of an RN/LPN license, $50 (plus the renewal fee as specified in subrule </w:t>
      </w:r>
      <w:hyperlink r:id="rId7">
        <w:r>
          <w:rPr>
            <w:rStyle w:val="Hyperlink"/>
            <w:rFonts w:ascii="Times New Roman" w:hAnsi="Times New Roman"/>
            <w:b w:val="false"/>
            <w:i w:val="false"/>
            <w:color w:val="000000"/>
            <w:sz w:val="22"/>
          </w:rPr>
          <w:t>3.2(8)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617.2(10)</w:t>
      </w:r>
      <w:r>
        <w:rPr>
          <w:rFonts w:ascii="Times New Roman" w:hAnsi="Times New Roman"/>
          <w:b w:val="false"/>
          <w:i w:val="false"/>
          <w:color w:val="000000"/>
          <w:sz w:val="22"/>
        </w:rPr>
        <w:t> </w:t>
      </w:r>
      <w:r>
        <w:rPr>
          <w:rFonts w:ascii="Times New Roman" w:hAnsi="Times New Roman"/>
          <w:b w:val="false"/>
          <w:i w:val="false"/>
          <w:color w:val="000000"/>
          <w:sz w:val="22"/>
        </w:rPr>
        <w:t>Check returned for any reason, $15.  If licensure/registration has been issued by the board office based on a check for the payment of fees and the check is later returned by the bank, the board will request payment by certified check or money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617.2(11)</w:t>
      </w:r>
      <w:r>
        <w:rPr>
          <w:rFonts w:ascii="Times New Roman" w:hAnsi="Times New Roman"/>
          <w:b w:val="false"/>
          <w:i w:val="false"/>
          <w:color w:val="000000"/>
          <w:sz w:val="22"/>
        </w:rPr>
        <w:t> </w:t>
      </w:r>
      <w:r>
        <w:rPr>
          <w:rFonts w:ascii="Times New Roman" w:hAnsi="Times New Roman"/>
          <w:b w:val="false"/>
          <w:i w:val="false"/>
          <w:color w:val="000000"/>
          <w:sz w:val="22"/>
        </w:rPr>
        <w:t>Certified copy of an original document,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617.2(12)</w:t>
      </w:r>
      <w:r>
        <w:rPr>
          <w:rFonts w:ascii="Times New Roman" w:hAnsi="Times New Roman"/>
          <w:b w:val="false"/>
          <w:i w:val="false"/>
          <w:color w:val="000000"/>
          <w:sz w:val="22"/>
        </w:rPr>
        <w:t> </w:t>
      </w:r>
      <w:r>
        <w:rPr>
          <w:rFonts w:ascii="Times New Roman" w:hAnsi="Times New Roman"/>
          <w:b w:val="false"/>
          <w:i w:val="false"/>
          <w:color w:val="000000"/>
          <w:sz w:val="22"/>
        </w:rPr>
        <w:t>Processing of the fingerprint cards and the Iowa DCI and FBI criminal history background checks, $50.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617.2(13)</w:t>
      </w:r>
      <w:r>
        <w:rPr>
          <w:rFonts w:ascii="Times New Roman" w:hAnsi="Times New Roman"/>
          <w:b w:val="false"/>
          <w:i w:val="false"/>
          <w:color w:val="000000"/>
          <w:sz w:val="22"/>
        </w:rPr>
        <w:t> </w:t>
      </w:r>
      <w:r>
        <w:rPr>
          <w:rFonts w:ascii="Times New Roman" w:hAnsi="Times New Roman"/>
          <w:b w:val="false"/>
          <w:i w:val="false"/>
          <w:color w:val="000000"/>
          <w:sz w:val="22"/>
        </w:rPr>
        <w:t>Petition for eligibility determination, $25.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481—617.3</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Mandatory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practice of nursing in the state of Iowa as defined in Iowa Code section </w:t>
      </w:r>
      <w:hyperlink r:id="rId8">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 outside of caring for one’s family, must have a current Iowa license, whether or not the person’s employer is in Iowa and whether or not the person receives compensation. Any nurse participating in the care of a patient situated in Iowa, whether that care is provided through telephonic, electronic or in-person means, and regardless of the location of the nurse, must obtain Iowa licensure unless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617.3(2)</w:t>
      </w:r>
      <w:r>
        <w:rPr>
          <w:rFonts w:ascii="Times New Roman" w:hAnsi="Times New Roman"/>
          <w:b w:val="false"/>
          <w:i w:val="false"/>
          <w:color w:val="000000"/>
          <w:sz w:val="22"/>
        </w:rPr>
        <w:t> </w:t>
      </w:r>
      <w:r>
        <w:rPr>
          <w:rFonts w:ascii="Times New Roman" w:hAnsi="Times New Roman"/>
          <w:b w:val="false"/>
          <w:i w:val="false"/>
          <w:color w:val="000000"/>
          <w:sz w:val="22"/>
        </w:rPr>
        <w:t>Current Iowa licensure is not mandatory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nurse holds an active multistate license issued by a party state, pursuant to Iowa Code chapter </w:t>
      </w:r>
      <w:hyperlink r:id="rId9">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A nurse who practices nursing in Iowa pursuant to a multistate licensure privilege is subject to the jurisdiction of the board, the courts, and the laws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services to patients in Iowa only during interstate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nurse holds an active license in another state and is providing emergency services in an area in which the governor of Iowa has declared a state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617.3(3)</w:t>
      </w:r>
      <w:r>
        <w:rPr>
          <w:rFonts w:ascii="Times New Roman" w:hAnsi="Times New Roman"/>
          <w:b w:val="false"/>
          <w:i w:val="false"/>
          <w:color w:val="000000"/>
          <w:sz w:val="22"/>
        </w:rPr>
        <w:t> </w:t>
      </w:r>
      <w:r>
        <w:rPr>
          <w:rFonts w:ascii="Times New Roman" w:hAnsi="Times New Roman"/>
          <w:b w:val="false"/>
          <w:i w:val="false"/>
          <w:color w:val="000000"/>
          <w:sz w:val="22"/>
        </w:rPr>
        <w:t>A licensed practical nurse enrolled in an approved program for registered nurses shall hold an active licensed practical nurse license in all jurisdictions in which the licensed practical nurse provides patient care. A registered nurse who is enrolled in an approved program for advanced registered nurse practitioners shall hold an active registered nurse license in all jurisdictions in which the registered nurse provides patient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481—617.4</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qualifications for registered nurse and licensed practical nurse. </w:t>
      </w:r>
      <w:r>
        <w:rPr>
          <w:rFonts w:ascii="Times New Roman" w:hAnsi="Times New Roman"/>
          <w:b w:val="false"/>
          <w:i w:val="false"/>
          <w:color w:val="000000"/>
          <w:sz w:val="22"/>
        </w:rPr>
        <w:t>Applicants for registered nurse and licensed practical nurse licenses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617.4(1)</w:t>
      </w:r>
      <w:r>
        <w:rPr>
          <w:rFonts w:ascii="Times New Roman" w:hAnsi="Times New Roman"/>
          <w:b w:val="false"/>
          <w:i w:val="false"/>
          <w:color w:val="000000"/>
          <w:sz w:val="22"/>
        </w:rPr>
        <w:t> </w:t>
      </w:r>
      <w:r>
        <w:rPr>
          <w:rFonts w:ascii="Times New Roman" w:hAnsi="Times New Roman"/>
          <w:b w:val="false"/>
          <w:i w:val="false"/>
          <w:color w:val="000000"/>
          <w:sz w:val="22"/>
        </w:rPr>
        <w:t>Graduation from an approved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617.4(2)</w:t>
      </w:r>
      <w:r>
        <w:rPr>
          <w:rFonts w:ascii="Times New Roman" w:hAnsi="Times New Roman"/>
          <w:b w:val="false"/>
          <w:i w:val="false"/>
          <w:color w:val="000000"/>
          <w:sz w:val="22"/>
        </w:rPr>
        <w:t> </w:t>
      </w:r>
      <w:r>
        <w:rPr>
          <w:rFonts w:ascii="Times New Roman" w:hAnsi="Times New Roman"/>
          <w:b w:val="false"/>
          <w:i w:val="false"/>
          <w:color w:val="000000"/>
          <w:sz w:val="22"/>
        </w:rPr>
        <w:t>Successful passage of the National Council Licensure Examination (NCLEX®) or the State Board Test Pool Examination, the national examination used prior to 1982. The passing standard is that established by the testing authority at the time the test was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617.4(3)</w:t>
      </w:r>
      <w:r>
        <w:rPr>
          <w:rFonts w:ascii="Times New Roman" w:hAnsi="Times New Roman"/>
          <w:b w:val="false"/>
          <w:i w:val="false"/>
          <w:color w:val="000000"/>
          <w:sz w:val="22"/>
        </w:rPr>
        <w:t> </w:t>
      </w:r>
      <w:r>
        <w:rPr>
          <w:rFonts w:ascii="Times New Roman" w:hAnsi="Times New Roman"/>
          <w:b w:val="false"/>
          <w:i w:val="false"/>
          <w:color w:val="000000"/>
          <w:sz w:val="22"/>
        </w:rPr>
        <w:t xml:space="preserve">If applicable, board approval of an applicant with a criminal history, pursuant to rule </w:t>
      </w:r>
      <w:hyperlink r:id="rId10">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 or a record of prior disciplinary action, regardless of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481—617.5</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initial licensure as a registered nurse or licensed practical nurse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617.5(2)</w:t>
      </w:r>
      <w:r>
        <w:rPr>
          <w:rFonts w:ascii="Times New Roman" w:hAnsi="Times New Roman"/>
          <w:b w:val="false"/>
          <w:i w:val="false"/>
          <w:color w:val="000000"/>
          <w:sz w:val="22"/>
        </w:rPr>
        <w:t> </w:t>
      </w:r>
      <w:r>
        <w:rPr>
          <w:rFonts w:ascii="Times New Roman" w:hAnsi="Times New Roman"/>
          <w:b w:val="false"/>
          <w:i/>
          <w:color w:val="000000"/>
          <w:sz w:val="22"/>
        </w:rPr>
        <w:t xml:space="preserve">Test registration. </w:t>
      </w:r>
      <w:r>
        <w:rPr>
          <w:rFonts w:ascii="Times New Roman" w:hAnsi="Times New Roman"/>
          <w:b w:val="false"/>
          <w:i w:val="false"/>
          <w:color w:val="000000"/>
          <w:sz w:val="22"/>
        </w:rPr>
        <w:t>The applicant completes NCLEX® registration, including payment of applicable fees through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617.5(3)</w:t>
      </w:r>
      <w:r>
        <w:rPr>
          <w:rFonts w:ascii="Times New Roman" w:hAnsi="Times New Roman"/>
          <w:b w:val="false"/>
          <w:i w:val="false"/>
          <w:color w:val="000000"/>
          <w:sz w:val="22"/>
        </w:rPr>
        <w:t> </w:t>
      </w:r>
      <w:r>
        <w:rPr>
          <w:rFonts w:ascii="Times New Roman" w:hAnsi="Times New Roman"/>
          <w:b w:val="false"/>
          <w:i/>
          <w:color w:val="000000"/>
          <w:sz w:val="22"/>
        </w:rPr>
        <w:t xml:space="preserve">Americans with Disabilities Act accommodations. </w:t>
      </w:r>
      <w:r>
        <w:rPr>
          <w:rFonts w:ascii="Times New Roman" w:hAnsi="Times New Roman"/>
          <w:b w:val="false"/>
          <w:i w:val="false"/>
          <w:color w:val="000000"/>
          <w:sz w:val="22"/>
        </w:rPr>
        <w:t>An applicant with a disability may submit a request to the board for testing accommodations. The request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disability and the specific testing accommodations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applicant’s health care provider describing the disability and the recommended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Documentation from the applicant’s nursing education program if testing accommodations were provided to the applicant during school.</w:t>
      </w:r>
    </w:p>
    <w:p>
      <w:pPr>
        <w:spacing w:before="0" w:after="0"/>
        <w:ind w:left="120"/>
        <w:jc w:val="both"/>
      </w:pPr>
      <w:r>
        <w:rPr>
          <w:rFonts w:ascii="Times New Roman" w:hAnsi="Times New Roman"/>
          <w:b w:val="false"/>
          <w:i w:val="false"/>
          <w:color w:val="000000"/>
          <w:sz w:val="22"/>
        </w:rPr>
        <w:t>The board’s recommendation regarding approval of accommodation requests will be communicated to the national test service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test. </w:t>
      </w:r>
      <w:r>
        <w:rPr>
          <w:rFonts w:ascii="Times New Roman" w:hAnsi="Times New Roman"/>
          <w:b w:val="false"/>
          <w:i w:val="false"/>
          <w:color w:val="000000"/>
          <w:sz w:val="22"/>
        </w:rPr>
        <w:t xml:space="preserve">An applicant will not receive an authorization to test until all of the requirements in subrules </w:t>
      </w:r>
      <w:hyperlink r:id="rId12">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will self-schedule the examination with an approved testing center and must test within 91 days of receiving the authorization to test. An applicant who does not test within 91 days of receiving the authorization to test is required to submit a new completed application for licensure by examination and fee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does not appear for a testing appointment or does not complete the examination must follow the requirements for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617.5(5)</w:t>
      </w:r>
      <w:r>
        <w:rPr>
          <w:rFonts w:ascii="Times New Roman" w:hAnsi="Times New Roman"/>
          <w:b w:val="false"/>
          <w:i w:val="false"/>
          <w:color w:val="000000"/>
          <w:sz w:val="22"/>
        </w:rPr>
        <w:t> </w:t>
      </w:r>
      <w:r>
        <w:rPr>
          <w:rFonts w:ascii="Times New Roman" w:hAnsi="Times New Roman"/>
          <w:b w:val="false"/>
          <w:i/>
          <w:color w:val="000000"/>
          <w:sz w:val="22"/>
        </w:rPr>
        <w:t xml:space="preserve">Reexamination. </w:t>
      </w:r>
      <w:r>
        <w:rPr>
          <w:rFonts w:ascii="Times New Roman" w:hAnsi="Times New Roman"/>
          <w:b w:val="false"/>
          <w:i w:val="false"/>
          <w:color w:val="000000"/>
          <w:sz w:val="22"/>
        </w:rPr>
        <w:t xml:space="preserve">An applicant who fails the examination and reapplies within 12 months of submitting a prior application to the board is required to complete the requirements in paragraphs </w:t>
      </w:r>
      <w:hyperlink r:id="rId14">
        <w:r>
          <w:rPr>
            <w:rStyle w:val="Hyperlink"/>
            <w:rFonts w:ascii="Times New Roman" w:hAnsi="Times New Roman"/>
            <w:b w:val="false"/>
            <w:i w:val="false"/>
            <w:color w:val="000000"/>
            <w:sz w:val="22"/>
          </w:rPr>
          <w:t>617.5(1)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subrule </w:t>
      </w:r>
      <w:hyperlink r:id="rId15">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 xml:space="preserve">. An applicant who fails the examination and reapplies after 12 months of submitting a prior application to the board shall be required to complete all requirements in subrules </w:t>
      </w:r>
      <w:hyperlink r:id="rId16">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617.5(2)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617.5(6)</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required by subrule </w:t>
      </w:r>
      <w:hyperlink r:id="rId18">
        <w:r>
          <w:rPr>
            <w:rStyle w:val="Hyperlink"/>
            <w:rFonts w:ascii="Times New Roman" w:hAnsi="Times New Roman"/>
            <w:b w:val="false"/>
            <w:i w:val="false"/>
            <w:color w:val="000000"/>
            <w:sz w:val="22"/>
          </w:rPr>
          <w:t>617.4(1)</w:t>
        </w:r>
      </w:hyperlink>
      <w:r>
        <w:rPr>
          <w:rFonts w:ascii="Times New Roman" w:hAnsi="Times New Roman"/>
          <w:b w:val="false"/>
          <w:i w:val="false"/>
          <w:color w:val="000000"/>
          <w:sz w:val="22"/>
        </w:rPr>
        <w:t xml:space="preserve"> and proof of successful passage of the examination,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617.5(7)</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481—617.6</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617.6(1)</w:t>
      </w:r>
      <w:r>
        <w:rPr>
          <w:rFonts w:ascii="Times New Roman" w:hAnsi="Times New Roman"/>
          <w:b w:val="false"/>
          <w:i w:val="false"/>
          <w:color w:val="000000"/>
          <w:sz w:val="22"/>
        </w:rPr>
        <w:t> </w:t>
      </w:r>
      <w:r>
        <w:rPr>
          <w:rFonts w:ascii="Times New Roman" w:hAnsi="Times New Roman"/>
          <w:b w:val="false"/>
          <w:i/>
          <w:color w:val="000000"/>
          <w:sz w:val="22"/>
        </w:rPr>
        <w:t xml:space="preserve">Board application. </w:t>
      </w:r>
      <w:r>
        <w:rPr>
          <w:rFonts w:ascii="Times New Roman" w:hAnsi="Times New Roman"/>
          <w:b w:val="false"/>
          <w:i w:val="false"/>
          <w:color w:val="000000"/>
          <w:sz w:val="22"/>
        </w:rPr>
        <w:t>A graduate of an approved nursing program seeking licensure as a registered nurse or licensed practical nurse in Iowa who has been licensed in another state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completed application for licensure by endorsement.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has a criminal history, copies of all documents required by rule </w:t>
      </w:r>
      <w:hyperlink r:id="rId19">
        <w:r>
          <w:rPr>
            <w:rStyle w:val="Hyperlink"/>
            <w:rFonts w:ascii="Times New Roman" w:hAnsi="Times New Roman"/>
            <w:b w:val="false"/>
            <w:i w:val="false"/>
            <w:color w:val="000000"/>
            <w:sz w:val="22"/>
          </w:rPr>
          <w:t>481—617.12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relevant disciplinary documents if the applicant has had disciplinary action taken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the license from the original state of licensure, which may be done through </w:t>
      </w:r>
      <w:hyperlink r:id="rId20">
        <w:r>
          <w:rPr>
            <w:rStyle w:val="Hyperlink"/>
            <w:rFonts w:ascii="Times New Roman" w:hAnsi="Times New Roman"/>
            <w:b w:val="false"/>
            <w:i w:val="false"/>
            <w:color w:val="000000"/>
            <w:sz w:val="22"/>
            <w:u w:val="single"/>
          </w:rPr>
          <w:t>www.nursys.com</w:t>
        </w:r>
      </w:hyperlink>
      <w:r>
        <w:rPr>
          <w:rFonts w:ascii="Times New Roman" w:hAnsi="Times New Roman"/>
          <w:b w:val="false"/>
          <w:i w:val="false"/>
          <w:color w:val="000000"/>
          <w:sz w:val="22"/>
        </w:rPr>
        <w:t xml:space="preserve"> or by using the verification form depending on the requirements of the original state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active licensure in any jurisdiction within the previous five years from the date of application or proof of completion of a nurse refresher course in accordance with rule </w:t>
      </w:r>
      <w:hyperlink r:id="rId21">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(152) within the 12 months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 official transcript denoting the date of graduation and diploma or degree conferred, sent directly to the board from the nursing program. An applicant may be excused from this requirement if the nursing program is closed and records are no longer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617.6(2)</w:t>
      </w:r>
      <w:r>
        <w:rPr>
          <w:rFonts w:ascii="Times New Roman" w:hAnsi="Times New Roman"/>
          <w:b w:val="false"/>
          <w:i w:val="false"/>
          <w:color w:val="000000"/>
          <w:sz w:val="22"/>
        </w:rPr>
        <w:t> </w:t>
      </w:r>
      <w:r>
        <w:rPr>
          <w:rFonts w:ascii="Times New Roman" w:hAnsi="Times New Roman"/>
          <w:b w:val="false"/>
          <w:i/>
          <w:color w:val="000000"/>
          <w:sz w:val="22"/>
        </w:rPr>
        <w:t xml:space="preserve">Temporary license. </w:t>
      </w:r>
      <w:r>
        <w:rPr>
          <w:rFonts w:ascii="Times New Roman" w:hAnsi="Times New Roman"/>
          <w:b w:val="false"/>
          <w:i w:val="false"/>
          <w:color w:val="000000"/>
          <w:sz w:val="22"/>
        </w:rPr>
        <w:t xml:space="preserve">An applicant who has submitted all documentation described in paragraphs </w:t>
      </w:r>
      <w:hyperlink r:id="rId22">
        <w:r>
          <w:rPr>
            <w:rStyle w:val="Hyperlink"/>
            <w:rFonts w:ascii="Times New Roman" w:hAnsi="Times New Roman"/>
            <w:b w:val="false"/>
            <w:i w:val="false"/>
            <w:color w:val="000000"/>
            <w:sz w:val="22"/>
          </w:rPr>
          <w:t>617.5(1)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may request a temporary registered nurse or licensed practical nurse license, which authorizes the practice of nursing in Iowa for a maximum of 30 days, pending receipt of official transcripts from the nursing program. A temporarily licensed licensee will automatically be issued a permanent license upon receipt of satisfactory transcripts from the nursing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617.6(3)</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 xml:space="preserve">Upon satisfactory review of the documentation described in subrule </w:t>
      </w:r>
      <w:hyperlink r:id="rId23">
        <w:r>
          <w:rPr>
            <w:rStyle w:val="Hyperlink"/>
            <w:rFonts w:ascii="Times New Roman" w:hAnsi="Times New Roman"/>
            <w:b w:val="false"/>
            <w:i w:val="false"/>
            <w:color w:val="000000"/>
            <w:sz w:val="22"/>
          </w:rPr>
          <w:t>617.5(1)</w:t>
        </w:r>
      </w:hyperlink>
      <w:r>
        <w:rPr>
          <w:rFonts w:ascii="Times New Roman" w:hAnsi="Times New Roman"/>
          <w:b w:val="false"/>
          <w:i w:val="false"/>
          <w:color w:val="000000"/>
          <w:sz w:val="22"/>
        </w:rPr>
        <w:t>, the applicant will be issued a license to practice as a registered nurse or licensed practical nurse.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617.6(4)</w:t>
      </w:r>
      <w:r>
        <w:rPr>
          <w:rFonts w:ascii="Times New Roman" w:hAnsi="Times New Roman"/>
          <w:b w:val="false"/>
          <w:i w:val="false"/>
          <w:color w:val="000000"/>
          <w:sz w:val="22"/>
        </w:rPr>
        <w:t> </w:t>
      </w:r>
      <w:r>
        <w:rPr>
          <w:rFonts w:ascii="Times New Roman" w:hAnsi="Times New Roman"/>
          <w:b w:val="false"/>
          <w:i/>
          <w:color w:val="000000"/>
          <w:sz w:val="22"/>
        </w:rPr>
        <w:t xml:space="preserve">Failure to complete the licensure process. </w:t>
      </w:r>
      <w:r>
        <w:rPr>
          <w:rFonts w:ascii="Times New Roman" w:hAnsi="Times New Roman"/>
          <w:b w:val="false"/>
          <w:i w:val="false"/>
          <w:color w:val="000000"/>
          <w:sz w:val="22"/>
        </w:rPr>
        <w:t>Once an application is initiated, the applicant has 12 months to complete the licensure process. The board reserves the right to destroy any applications and supporting documents after 12 months if the applicant has not completed the licensure process. Applicants who fail to complete the licensure process within 12 months are required to start the application process anew.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617.6(5)</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nurse who holds a multistate license issued by a party state and who changes the nurse’s primary state of residence to Iowa must apply for licensure in Iowa pursuant to this rule. Upon issuance of a multistate license by the board, the nurse’s prior multistate license will be deactivated.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481—617.7</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Applicants educated in a foreign country or in a U.S. territory that is not a member of NCSBN.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617.7(1)</w:t>
      </w:r>
      <w:r>
        <w:rPr>
          <w:rFonts w:ascii="Times New Roman" w:hAnsi="Times New Roman"/>
          <w:b w:val="false"/>
          <w:i w:val="false"/>
          <w:color w:val="000000"/>
          <w:sz w:val="22"/>
        </w:rPr>
        <w:t> </w:t>
      </w:r>
      <w:r>
        <w:rPr>
          <w:rFonts w:ascii="Times New Roman" w:hAnsi="Times New Roman"/>
          <w:b w:val="false"/>
          <w:i w:val="false"/>
          <w:color w:val="000000"/>
          <w:sz w:val="22"/>
        </w:rPr>
        <w:t>Applicant for licensure. An applicant seeking licensure in Iowa who was educated in a foreign country or in a U.S. territory that is not a member of NCSBN shall apply for licensure by examination pursuant to rule 481—617.5(17A,147,152,272C) or licensure by endorsement pursuant to rule 481—617.6(17A,147,152,272C), as applicable, but instead of submitting an official transcript, shall submit one of the following documents issued by CGFNS: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Credentials Evaluation Service (CES) Professional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VisaScreen® certificate or certificate verification letter verifying that a VisaScreen®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CGFNS Certification Program® certificate or certificate verification letter verifying that a CGFNS Certification Program®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617.7(2)</w:t>
      </w:r>
      <w:r>
        <w:rPr>
          <w:rFonts w:ascii="Times New Roman" w:hAnsi="Times New Roman"/>
          <w:b w:val="false"/>
          <w:i w:val="false"/>
          <w:color w:val="000000"/>
          <w:sz w:val="22"/>
        </w:rPr>
        <w:t> </w:t>
      </w:r>
      <w:r>
        <w:rPr>
          <w:rFonts w:ascii="Times New Roman" w:hAnsi="Times New Roman"/>
          <w:b w:val="false"/>
          <w:i w:val="false"/>
          <w:color w:val="000000"/>
          <w:sz w:val="22"/>
        </w:rPr>
        <w:t>An applicant shall be exempt from taking an English language proficiency test when all of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nursing education was completed in a college, university, or professional school located in Australia, Barbados, Canada (except Quebec), Ireland, Jamaica, New Zealand, South Africa, Trinidad and Tobago, or the United Kingdom.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of instruction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language of the textbooks in the nursing program was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617.7(3)</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To be eligible for a multistate license, an applicant must have a social security number. An applicant who does not have a social security number shall submit documentation of lawful presence and will only be eligible for a single state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481—617.8</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License renewal and 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617.8(1)</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changes. </w:t>
      </w:r>
      <w:r>
        <w:rPr>
          <w:rFonts w:ascii="Times New Roman" w:hAnsi="Times New Roman"/>
          <w:b w:val="false"/>
          <w:i w:val="false"/>
          <w:color w:val="000000"/>
          <w:sz w:val="22"/>
        </w:rPr>
        <w:t>Licensees must notify the board of any name or address change within 30 days of the change. Licensure documents are mailed to the licensee at the address on file in the board office. There is no fee for a change of name or address in board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617.8(2)</w:t>
      </w:r>
      <w:r>
        <w:rPr>
          <w:rFonts w:ascii="Times New Roman" w:hAnsi="Times New Roman"/>
          <w:b w:val="false"/>
          <w:i w:val="false"/>
          <w:color w:val="000000"/>
          <w:sz w:val="22"/>
        </w:rPr>
        <w:t> </w:t>
      </w:r>
      <w:r>
        <w:rPr>
          <w:rFonts w:ascii="Times New Roman" w:hAnsi="Times New Roman"/>
          <w:b w:val="false"/>
          <w:i/>
          <w:color w:val="000000"/>
          <w:sz w:val="22"/>
        </w:rPr>
        <w:t xml:space="preserve">Initial licenses. </w:t>
      </w:r>
      <w:r>
        <w:rPr>
          <w:rFonts w:ascii="Times New Roman" w:hAnsi="Times New Roman"/>
          <w:b w:val="false"/>
          <w:i w:val="false"/>
          <w:color w:val="000000"/>
          <w:sz w:val="22"/>
        </w:rPr>
        <w:t>The board shall issue licenses by endorsement and examination for a 24- to 36-month period. When the license is renewed, it will be placed on a three-year renewal cycle. License expiration is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licensee may renew the license beginning 60 days prior to license expiration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Attest that Iowa is the primary state of residence or that the primary state of residence is a noncompact state. The board may request evidence of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renewal application and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 as set forth in </w:t>
      </w:r>
      <w:hyperlink r:id="rId24">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Complete the required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course(s) shall be the curriculum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children in Iowa must indicate on the renewal application completion of training in child abuse identification and reporting as required by Iowa Code section </w:t>
      </w:r>
      <w:hyperlink r:id="rId25">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subparagraph </w:t>
      </w:r>
      <w:hyperlink r:id="rId26">
        <w:r>
          <w:rPr>
            <w:rStyle w:val="Hyperlink"/>
            <w:rFonts w:ascii="Times New Roman" w:hAnsi="Times New Roman"/>
            <w:b w:val="false"/>
            <w:i w:val="false"/>
            <w:color w:val="000000"/>
            <w:sz w:val="22"/>
          </w:rPr>
          <w:t>617.8(3)</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regularly examines, attends, counsels or treats adults in Iowa shall indicate on the renewal application completion of training in dependent adult abuse identification and reporting as required by Iowa Code section </w:t>
      </w:r>
      <w:hyperlink r:id="rId27">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rule suspension as identified in subparagraph </w:t>
      </w:r>
      <w:hyperlink r:id="rId28">
        <w:r>
          <w:rPr>
            <w:rStyle w:val="Hyperlink"/>
            <w:rFonts w:ascii="Times New Roman" w:hAnsi="Times New Roman"/>
            <w:b w:val="false"/>
            <w:i w:val="false"/>
            <w:color w:val="000000"/>
            <w:sz w:val="22"/>
          </w:rPr>
          <w:t>617.8(3)</w:t>
        </w:r>
      </w:hyperlink>
      <w:r>
        <w:rPr>
          <w:rFonts w:ascii="Times New Roman" w:hAnsi="Times New Roman"/>
          <w:b w:val="false"/>
          <w:i/>
          <w:color w:val="000000"/>
          <w:sz w:val="22"/>
        </w:rPr>
        <w:t>“d”</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maintain written documentation for three years after mandatory training as identified in subparagraphs </w:t>
      </w:r>
      <w:hyperlink r:id="rId29">
        <w:r>
          <w:rPr>
            <w:rStyle w:val="Hyperlink"/>
            <w:rFonts w:ascii="Times New Roman" w:hAnsi="Times New Roman"/>
            <w:b w:val="false"/>
            <w:i w:val="false"/>
            <w:color w:val="000000"/>
            <w:sz w:val="22"/>
          </w:rPr>
          <w:t>617.8(3)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including program date(s), content, duration, and proof of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requirement for mandatory training for identifying and reporting child and dependent adult abuse will be suspended if the board determines that suspension is in the public interest or that a person at the time of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engaged in active duty in the military service of this state or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exemption based on evidence of significant hardship in complying with training requirements, including an exemption of continuing education requirements or extension of time in which to fulfill requirements due to a physical or mental disability or illness as identified in </w:t>
      </w:r>
      <w:hyperlink r:id="rId30">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select licensees for audit of compliance with the requirements in subparagraphs </w:t>
      </w:r>
      <w:hyperlink r:id="rId31">
        <w:r>
          <w:rPr>
            <w:rStyle w:val="Hyperlink"/>
            <w:rFonts w:ascii="Times New Roman" w:hAnsi="Times New Roman"/>
            <w:b w:val="false"/>
            <w:i w:val="false"/>
            <w:color w:val="000000"/>
            <w:sz w:val="22"/>
          </w:rPr>
          <w:t>617.8(3)</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The license is late when the license has not been renewed by the expiration date. The licensee will be assessed a late fee as specified in rule 481—617.2(17A,147,152,152E,272C). To renew a late license, the licensee shall complete the renewal requirements and submit the late fee before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617.8(5)</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The license becomes inactive when the license has not been renewed by the fifteenth day of the month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inactive license is not reactivated, it remains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resides in Iowa or a noncompact state, the licensee shall not practice nursing in Iowa until the license is reactivated to active status. If the licensee is identified as engaging in the practice of nursing with an inactive license, disciplinary proceedings may be initiated.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obtain continuing education credit or pay fees while the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617.8(6)</w:t>
      </w:r>
      <w:r>
        <w:rPr>
          <w:rFonts w:ascii="Times New Roman" w:hAnsi="Times New Roman"/>
          <w:b w:val="false"/>
          <w:i w:val="false"/>
          <w:color w:val="000000"/>
          <w:sz w:val="22"/>
        </w:rPr>
        <w:t> </w:t>
      </w:r>
      <w:r>
        <w:rPr>
          <w:rFonts w:ascii="Times New Roman" w:hAnsi="Times New Roman"/>
          <w:b w:val="false"/>
          <w:i/>
          <w:color w:val="000000"/>
          <w:sz w:val="22"/>
        </w:rPr>
        <w:t xml:space="preserve">Changing primary state of residence for multistate license. </w:t>
      </w:r>
      <w:r>
        <w:rPr>
          <w:rFonts w:ascii="Times New Roman" w:hAnsi="Times New Roman"/>
          <w:b w:val="false"/>
          <w:i w:val="false"/>
          <w:color w:val="000000"/>
          <w:sz w:val="22"/>
        </w:rPr>
        <w:t>A licensee who holds a multistate license issued by this board and who changes the licensee’s primary state of residency to another party state must apply for licensure in the new party state. Once the board has been notified by the new party state that a new license has been issued, the Iowa multistate license will become inactive.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617.8(7)</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reactivate an inactive license, the licensee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shall submit: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reactivation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Payment of the applicable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continuing education report form and supporting continuing education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Two completed fingerprint cards and a signed waiver form to facilitate a national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have obtained 36 contact hours of continuing education, as specified in </w:t>
      </w:r>
      <w:hyperlink r:id="rId32">
        <w:r>
          <w:rPr>
            <w:rStyle w:val="Hyperlink"/>
            <w:rFonts w:ascii="Times New Roman" w:hAnsi="Times New Roman"/>
            <w:b w:val="false"/>
            <w:i w:val="false"/>
            <w:color w:val="000000"/>
            <w:sz w:val="22"/>
          </w:rPr>
          <w:t>481—Chapter 619</w:t>
        </w:r>
      </w:hyperlink>
      <w:r>
        <w:rPr>
          <w:rFonts w:ascii="Times New Roman" w:hAnsi="Times New Roman"/>
          <w:b w:val="false"/>
          <w:i w:val="false"/>
          <w:color w:val="000000"/>
          <w:sz w:val="22"/>
        </w:rPr>
        <w:t>, within the 36 months prior to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licensee has not held an active license in any jurisdiction within the previous five years, the licensee must complete a nurse refresher course in accordance with rule </w:t>
      </w:r>
      <w:hyperlink r:id="rId33">
        <w:r>
          <w:rPr>
            <w:rStyle w:val="Hyperlink"/>
            <w:rFonts w:ascii="Times New Roman" w:hAnsi="Times New Roman"/>
            <w:b w:val="false"/>
            <w:i w:val="false"/>
            <w:color w:val="000000"/>
            <w:sz w:val="22"/>
          </w:rPr>
          <w:t>481—617.11</w:t>
        </w:r>
      </w:hyperlink>
      <w:r>
        <w:rPr>
          <w:rFonts w:ascii="Times New Roman" w:hAnsi="Times New Roman"/>
          <w:b w:val="false"/>
          <w:i w:val="false"/>
          <w:color w:val="000000"/>
          <w:sz w:val="22"/>
        </w:rPr>
        <w:t>(152) within 12 months of applying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receipt of all necessary materials, the licensee will be issued a license for a 24- to 36-month period. At the time of the next renewal, the license will be placed on a three-year renewal cycle. License expiration is on the fifteenth day of the licensee’s birth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fails to complete the reactivation of licensure process within 12 months from the date of initial application must reapply. 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481—617.9</w:t>
      </w:r>
      <w:r>
        <w:rPr>
          <w:rFonts w:ascii="Times New Roman" w:hAnsi="Times New Roman"/>
          <w:b/>
          <w:i w:val="false"/>
          <w:color w:val="000000"/>
          <w:sz w:val="22"/>
        </w:rPr>
        <w:t xml:space="preserve">(17A,147,152,272C) </w:t>
      </w:r>
      <w:r>
        <w:rPr>
          <w:rFonts w:ascii="Times New Roman" w:hAnsi="Times New Roman"/>
          <w:b/>
          <w:i w:val="false"/>
          <w:color w:val="000000"/>
          <w:sz w:val="22"/>
        </w:rPr>
        <w:t xml:space="preserve">Verification. </w:t>
      </w:r>
      <w:r>
        <w:rPr>
          <w:rFonts w:ascii="Times New Roman" w:hAnsi="Times New Roman"/>
          <w:b w:val="false"/>
          <w:i w:val="false"/>
          <w:color w:val="000000"/>
          <w:sz w:val="22"/>
        </w:rPr>
        <w:t xml:space="preserve">Upon written request from the licensee or another jurisdiction and payment of the verification fee as specified in rule </w:t>
      </w:r>
      <w:hyperlink r:id="rId34">
        <w:r>
          <w:rPr>
            <w:rStyle w:val="Hyperlink"/>
            <w:rFonts w:ascii="Times New Roman" w:hAnsi="Times New Roman"/>
            <w:b w:val="false"/>
            <w:i w:val="false"/>
            <w:color w:val="000000"/>
            <w:sz w:val="22"/>
          </w:rPr>
          <w:t>481—617.2</w:t>
        </w:r>
      </w:hyperlink>
      <w:r>
        <w:rPr>
          <w:rFonts w:ascii="Times New Roman" w:hAnsi="Times New Roman"/>
          <w:b w:val="false"/>
          <w:i w:val="false"/>
          <w:color w:val="000000"/>
          <w:sz w:val="22"/>
        </w:rPr>
        <w:t>(17A,147,152,152E,272C), the board will provide a certified statement to another jurisdiction or entity that the license of a registered nurse, licensed practical nurse or advanced registered nurse practitioner is active, inactive or encumbered/disciplined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481—617.10</w:t>
      </w:r>
      <w:r>
        <w:rPr>
          <w:rFonts w:ascii="Times New Roman" w:hAnsi="Times New Roman"/>
          <w:b/>
          <w:i w:val="false"/>
          <w:color w:val="000000"/>
          <w:sz w:val="22"/>
        </w:rPr>
        <w:t xml:space="preserve">(17A,272C)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617.10(1)</w:t>
      </w:r>
      <w:r>
        <w:rPr>
          <w:rFonts w:ascii="Times New Roman" w:hAnsi="Times New Roman"/>
          <w:b w:val="false"/>
          <w:i w:val="false"/>
          <w:color w:val="000000"/>
          <w:sz w:val="22"/>
        </w:rPr>
        <w:t> </w:t>
      </w:r>
      <w:r>
        <w:rPr>
          <w:rFonts w:ascii="Times New Roman" w:hAnsi="Times New Roman"/>
          <w:b w:val="false"/>
          <w:i w:val="false"/>
          <w:color w:val="000000"/>
          <w:sz w:val="22"/>
        </w:rPr>
        <w:t>Prior to the denial of licensure to an applicant, the board issues a preliminary notice of denial that cites the factual and legal basis for denying the application, notifies the applicant of the appeal process and specifies the date upon which the denial will become final if not appealed.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617.10(2)</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issued a preliminary notice of denial may appeal the notice and request a hearing on the issues related to the preliminary notice of denial by serving a request for hearing upon the executive director within 30 days following the date the preliminary notice of denial was mailed. The request for hearing shall specify the factual or legal errors in the preliminary notice of denial and provide any additional written information or documents in support of the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617.10(3)</w:t>
      </w:r>
      <w:r>
        <w:rPr>
          <w:rFonts w:ascii="Times New Roman" w:hAnsi="Times New Roman"/>
          <w:b w:val="false"/>
          <w:i w:val="false"/>
          <w:color w:val="000000"/>
          <w:sz w:val="22"/>
        </w:rPr>
        <w:t> </w:t>
      </w:r>
      <w:r>
        <w:rPr>
          <w:rFonts w:ascii="Times New Roman" w:hAnsi="Times New Roman"/>
          <w:b w:val="false"/>
          <w:i w:val="false"/>
          <w:color w:val="000000"/>
          <w:sz w:val="22"/>
        </w:rPr>
        <w:t xml:space="preserve">All hearings held pursuant to this rule shall be held in accordance with the process outlined in </w:t>
      </w:r>
      <w:hyperlink r:id="rId3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617.10(4)</w:t>
      </w:r>
      <w:r>
        <w:rPr>
          <w:rFonts w:ascii="Times New Roman" w:hAnsi="Times New Roman"/>
          <w:b w:val="false"/>
          <w:i w:val="false"/>
          <w:color w:val="000000"/>
          <w:sz w:val="22"/>
        </w:rPr>
        <w:t> </w:t>
      </w:r>
      <w:r>
        <w:rPr>
          <w:rFonts w:ascii="Times New Roman" w:hAnsi="Times New Roman"/>
          <w:b w:val="false"/>
          <w:i w:val="false"/>
          <w:color w:val="000000"/>
          <w:sz w:val="22"/>
        </w:rPr>
        <w:t>If an applicant does not appeal a preliminary notice of denial, the preliminary notice of denial automatically becomes final.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481—617.11</w:t>
      </w:r>
      <w:r>
        <w:rPr>
          <w:rFonts w:ascii="Times New Roman" w:hAnsi="Times New Roman"/>
          <w:b/>
          <w:i w:val="false"/>
          <w:color w:val="000000"/>
          <w:sz w:val="22"/>
        </w:rPr>
        <w:t xml:space="preserve">(152) </w:t>
      </w:r>
      <w:r>
        <w:rPr>
          <w:rFonts w:ascii="Times New Roman" w:hAnsi="Times New Roman"/>
          <w:b/>
          <w:i w:val="false"/>
          <w:color w:val="000000"/>
          <w:sz w:val="22"/>
        </w:rPr>
        <w:t xml:space="preserve">Nurse refresher course.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617.11(1)</w:t>
      </w:r>
      <w:r>
        <w:rPr>
          <w:rFonts w:ascii="Times New Roman" w:hAnsi="Times New Roman"/>
          <w:b w:val="false"/>
          <w:i w:val="false"/>
          <w:color w:val="000000"/>
          <w:sz w:val="22"/>
        </w:rPr>
        <w:t> </w:t>
      </w:r>
      <w:r>
        <w:rPr>
          <w:rFonts w:ascii="Times New Roman" w:hAnsi="Times New Roman"/>
          <w:b w:val="false"/>
          <w:i w:val="false"/>
          <w:color w:val="000000"/>
          <w:sz w:val="22"/>
        </w:rPr>
        <w:t>A nurse refresher course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theory, with content in basic nursing skills, pharmacology, physical assessment, intravenous (IV) therapy (registered nurse only), and legal and ethical considerations in health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minimum of 80 hours of hands-on supervised clinical learning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617.11(2)</w:t>
      </w:r>
      <w:r>
        <w:rPr>
          <w:rFonts w:ascii="Times New Roman" w:hAnsi="Times New Roman"/>
          <w:b w:val="false"/>
          <w:i w:val="false"/>
          <w:color w:val="000000"/>
          <w:sz w:val="22"/>
        </w:rPr>
        <w:t> </w:t>
      </w:r>
      <w:r>
        <w:rPr>
          <w:rFonts w:ascii="Times New Roman" w:hAnsi="Times New Roman"/>
          <w:b w:val="false"/>
          <w:i w:val="false"/>
          <w:color w:val="000000"/>
          <w:sz w:val="22"/>
        </w:rPr>
        <w:t>To participate in the clinical component of a nurse refresher course in Iowa, a licensee must have an active license to practice nursing in Iowa or a limited authorization issued by the board. A licensee shall request the limited authorization from the board prior to beginning the clinical component of a nurse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617.11(3)</w:t>
      </w:r>
      <w:r>
        <w:rPr>
          <w:rFonts w:ascii="Times New Roman" w:hAnsi="Times New Roman"/>
          <w:b w:val="false"/>
          <w:i w:val="false"/>
          <w:color w:val="000000"/>
          <w:sz w:val="22"/>
        </w:rPr>
        <w:t> </w:t>
      </w:r>
      <w:r>
        <w:rPr>
          <w:rFonts w:ascii="Times New Roman" w:hAnsi="Times New Roman"/>
          <w:b w:val="false"/>
          <w:i w:val="false"/>
          <w:color w:val="000000"/>
          <w:sz w:val="22"/>
        </w:rPr>
        <w:t>To receive a certificate of completion from the nurse refresher course, a licensee must complete all requirements of the nurse refresher course to the satisfaction of the course provider. The course provider shall submit proof of the licensee’s completion of the nurse refresher course directly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481—617.12</w:t>
      </w:r>
      <w:r>
        <w:rPr>
          <w:rFonts w:ascii="Times New Roman" w:hAnsi="Times New Roman"/>
          <w:b/>
          <w:i w:val="false"/>
          <w:color w:val="000000"/>
          <w:sz w:val="22"/>
        </w:rPr>
        <w:t xml:space="preserve">(272C) </w:t>
      </w:r>
      <w:r>
        <w:rPr>
          <w:rFonts w:ascii="Times New Roman" w:hAnsi="Times New Roman"/>
          <w:b/>
          <w:i w:val="false"/>
          <w:color w:val="000000"/>
          <w:sz w:val="22"/>
        </w:rPr>
        <w:t xml:space="preserve">Use of criminal convictions in eligibility determinations and initial licensing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licensed profession, or (2) 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617.12(2)</w:t>
      </w:r>
      <w:r>
        <w:rPr>
          <w:rFonts w:ascii="Times New Roman" w:hAnsi="Times New Roman"/>
          <w:b w:val="false"/>
          <w:i w:val="false"/>
          <w:color w:val="000000"/>
          <w:sz w:val="22"/>
        </w:rPr>
        <w:t> </w:t>
      </w:r>
      <w:r>
        <w:rPr>
          <w:rFonts w:ascii="Times New Roman" w:hAnsi="Times New Roman"/>
          <w:b w:val="false"/>
          <w:i/>
          <w:color w:val="000000"/>
          <w:sz w:val="22"/>
        </w:rPr>
        <w:t xml:space="preserve">License application. </w:t>
      </w:r>
      <w:r>
        <w:rPr>
          <w:rFonts w:ascii="Times New Roman" w:hAnsi="Times New Roman"/>
          <w:b w:val="false"/>
          <w:i w:val="false"/>
          <w:color w:val="000000"/>
          <w:sz w:val="22"/>
        </w:rPr>
        <w:t xml:space="preserve">Unless an applicant for licensure petitions the board for an eligibility determination pursuant to subrule </w:t>
      </w:r>
      <w:hyperlink r:id="rId36">
        <w:r>
          <w:rPr>
            <w:rStyle w:val="Hyperlink"/>
            <w:rFonts w:ascii="Times New Roman" w:hAnsi="Times New Roman"/>
            <w:b w:val="false"/>
            <w:i w:val="false"/>
            <w:color w:val="000000"/>
            <w:sz w:val="22"/>
          </w:rPr>
          <w:t>617.11(3)</w:t>
        </w:r>
      </w:hyperlink>
      <w:r>
        <w:rPr>
          <w:rFonts w:ascii="Times New Roman" w:hAnsi="Times New Roman"/>
          <w:b w:val="false"/>
          <w:i w:val="false"/>
          <w:color w:val="000000"/>
          <w:sz w:val="22"/>
        </w:rPr>
        <w:t>, the applicant’s convictions will be reviewed when the board receives a completed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must disclose all convictions on a license application. Failure to disclose all convictions is grounds for license denial or disciplinary action following license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the license application to be considered complete, an applicant with one or more convictions shall submit the complete criminal record for each conviction and a personal statement regarding whether each conviction directly relates to the duties and responsibilities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must submit as part of the license application all evidence of rehabilitation that the applicant wishes to be considered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deny a license if the applicant has a disqualifying offense, unless the applicant demonstrates by clear and convincing evidence that the applicant is rehabilitated pursuant to Iowa Code section </w:t>
      </w:r>
      <w:hyperlink r:id="rId3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applicant with one or more disqualifying offenses who has been found rehabilitated must still satisfy all other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application fees paid will not be refunded if the license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617.12(3)</w:t>
      </w:r>
      <w:r>
        <w:rPr>
          <w:rFonts w:ascii="Times New Roman" w:hAnsi="Times New Roman"/>
          <w:b w:val="false"/>
          <w:i w:val="false"/>
          <w:color w:val="000000"/>
          <w:sz w:val="22"/>
        </w:rPr>
        <w:t> </w:t>
      </w:r>
      <w:r>
        <w:rPr>
          <w:rFonts w:ascii="Times New Roman" w:hAnsi="Times New Roman"/>
          <w:b w:val="false"/>
          <w:i/>
          <w:color w:val="000000"/>
          <w:sz w:val="22"/>
        </w:rPr>
        <w:t xml:space="preserve">Eligibility determination.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who has not yet submitted a completed license application may petition the board for a determination of whether one or more of the individual’s convictions are disqualifying offenses that would render the individual ineligible for licensure. An individual with a conviction is not required to petition the board for an eligibility determination prior to applying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petition the board for an eligibility determination of whether one or more of the petitioner’s convictions are disqualifying offenses, a petitioner shall submit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completed eligibility determination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criminal record for each of the petitioner’s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personal statement regarding whether each conviction directly relates to the duties and responsibilities of the profession and why the board should deem the petitioner rehabilitated;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evidence of rehabilitation that the petitioner wishes to be considered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of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petitioner deemed ineligible or an applicant denied a license because of a disqualifying offense may appeal the decision in the manner and time frame set forth in the board’s written decision. A timely appeal will initiate a nondisciplinary contested case proceeding. The board’s rules governing contested case proceedings will apply unless otherwise specified in this rule. If the petitioner or applicant fails to timely appeal, the board’s written decision will become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will serve as the presiding officer of the nondisciplinary contested case proceeding unless the board elects to serve as the presiding officer. When an administrative law judge serves as the presiding officer, the decision rendered shall be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contested case hearing shall be closed to the public, and the board’s review of a proposed decision shall occur in closed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office of the attorney general shall represent the board’s initial ineligibility determination or license denial and shall have the burden of proof to establish that the petitioner’s or applicant’s convictions include at least one disqualifying offense. Upon the satisfaction of this burden by a preponderance of the evidence by the office of the attorney general, the burden of proof shall shift to the petitioner or applicant to establish rehabilitation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petitioner or applicant must appeal an ineligibility determination or license denial in order to exhaust administrative remedies. A petitioner or applicant may only seek judicial review of an ineligibility determination or license denial after the issuance of a final order following a contested case proceeding. Judicial review of the final order following a contested case proceeding shall be in accordance with Iowa Code chapter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617.12(5)</w:t>
      </w:r>
      <w:r>
        <w:rPr>
          <w:rFonts w:ascii="Times New Roman" w:hAnsi="Times New Roman"/>
          <w:b w:val="false"/>
          <w:i w:val="false"/>
          <w:color w:val="000000"/>
          <w:sz w:val="22"/>
        </w:rPr>
        <w:t> </w:t>
      </w:r>
      <w:r>
        <w:rPr>
          <w:rFonts w:ascii="Times New Roman" w:hAnsi="Times New Roman"/>
          <w:b w:val="false"/>
          <w:i/>
          <w:color w:val="000000"/>
          <w:sz w:val="22"/>
        </w:rPr>
        <w:t xml:space="preserve">Future petitions or applications. </w:t>
      </w:r>
      <w:r>
        <w:rPr>
          <w:rFonts w:ascii="Times New Roman" w:hAnsi="Times New Roman"/>
          <w:b w:val="false"/>
          <w:i w:val="false"/>
          <w:color w:val="000000"/>
          <w:sz w:val="22"/>
        </w:rPr>
        <w:t>If a final order determines a petitioner is ineligible, the petitioner may not submit a subsequent petition for eligibility determination or a license application prior to the date specified in the final order. If a final order denies a license application, the applicant may not submit a subsequent license application or a petition for eligibility determination prior to the date specified in the final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9160C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152E</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5/12/70]</w:t>
      </w:r>
    </w:p>
    <w:p>
      <w:pPr>
        <w:spacing w:before="0" w:after="0"/>
        <w:ind w:left="120"/>
        <w:jc w:val="center"/>
      </w:pPr>
      <w:r>
        <w:rPr>
          <w:rFonts w:ascii="Times New Roman" w:hAnsi="Times New Roman"/>
          <w:b w:val="false"/>
          <w:i w:val="false"/>
          <w:color w:val="000000"/>
          <w:sz w:val="21"/>
        </w:rPr>
        <w:t>[Filed 5/12/70; amended 8/11/70]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2/20/76, Notice 12/29/75—published 3/8/76, effective 4/12/76]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5/3/76, Notices 1/12/76, 3/22/76—published 5/17/76, effective 6/21/76]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5/24/76, Notice 4/19/76—published 6/14/76, effective 7/19/76]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12/3/76, Notice 8/9/76—published 12/29/76, effective 2/2/77]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3/9/77, Notice 12/29/76—published 4/6/77, effective 5/11/77]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3/18/77, Notice 8/9/76—published 4/6/77, effective 5/11/77]</w:t>
      </w:r>
    </w:p>
    <w:p>
      <w:pPr>
        <w:spacing w:before="0" w:after="0"/>
        <w:ind w:left="120"/>
        <w:jc w:val="center"/>
      </w:pPr>
      <w:r>
        <w:rPr>
          <w:rFonts w:ascii="Times New Roman" w:hAnsi="Times New Roman"/>
          <w:b w:val="false"/>
          <w:i w:val="false"/>
          <w:color w:val="000000"/>
          <w:sz w:val="21"/>
        </w:rPr>
        <w:t>[Filed 6/24/77, Notices 12/15/76, 4/20/77—published 7/13/77, effective 8/17/77]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10/3/77, Notice 8/24/77—published 10/19/77, effective 11/23/77]</w:t>
      </w:r>
    </w:p>
    <w:p>
      <w:pPr>
        <w:spacing w:before="0" w:after="0"/>
        <w:ind w:left="120"/>
        <w:jc w:val="center"/>
      </w:pPr>
      <w:r>
        <w:rPr>
          <w:rFonts w:ascii="Times New Roman" w:hAnsi="Times New Roman"/>
          <w:b w:val="false"/>
          <w:i w:val="false"/>
          <w:color w:val="000000"/>
          <w:sz w:val="21"/>
        </w:rPr>
        <w:t>[Filed emergency 1/23/78—published 2/8/78, effective 1/23/78]</w:t>
      </w:r>
    </w:p>
    <w:p>
      <w:pPr>
        <w:spacing w:before="0" w:after="0"/>
        <w:ind w:left="120"/>
        <w:jc w:val="center"/>
      </w:pPr>
      <w:r>
        <w:rPr>
          <w:rFonts w:ascii="Times New Roman" w:hAnsi="Times New Roman"/>
          <w:b w:val="false"/>
          <w:i w:val="false"/>
          <w:color w:val="000000"/>
          <w:sz w:val="21"/>
        </w:rPr>
        <w:t>[Filed 4/21/78, Notice 2/22/78—published 5/17/78, effective 6/21/78]</w:t>
      </w:r>
    </w:p>
    <w:p>
      <w:pPr>
        <w:spacing w:before="0" w:after="0"/>
        <w:ind w:left="120"/>
        <w:jc w:val="center"/>
      </w:pPr>
      <w:r>
        <w:rPr>
          <w:rFonts w:ascii="Times New Roman" w:hAnsi="Times New Roman"/>
          <w:b w:val="false"/>
          <w:i w:val="false"/>
          <w:color w:val="000000"/>
          <w:sz w:val="21"/>
        </w:rPr>
        <w:t>[Filed 4/21/78, Notice 3/8/78—published 5/1/78, effective 6/21/78]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7/17/80, Notice 5/14/80—published 8/6/80, effective 9/10/80]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after Notice 6/21/82, Notice 5/12/82—published 7/7/82, effective 6/21/82]</w:t>
      </w:r>
    </w:p>
    <w:p>
      <w:pPr>
        <w:spacing w:before="0" w:after="0"/>
        <w:ind w:left="120"/>
        <w:jc w:val="center"/>
      </w:pPr>
      <w:r>
        <w:rPr>
          <w:rFonts w:ascii="Times New Roman" w:hAnsi="Times New Roman"/>
          <w:b w:val="false"/>
          <w:i w:val="false"/>
          <w:color w:val="000000"/>
          <w:sz w:val="21"/>
        </w:rPr>
        <w:t>[Filed emergency after Notice 2/10/83, Notice 1/5/83—published 3/2/83, effective 2/10/83]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10/17/84, Notice 8/29/84—published 11/7/84, effective 12/12/84]</w:t>
      </w:r>
    </w:p>
    <w:p>
      <w:pPr>
        <w:spacing w:before="0" w:after="0"/>
        <w:ind w:left="120"/>
        <w:jc w:val="center"/>
      </w:pPr>
      <w:r>
        <w:rPr>
          <w:rFonts w:ascii="Times New Roman" w:hAnsi="Times New Roman"/>
          <w:b w:val="false"/>
          <w:i w:val="false"/>
          <w:color w:val="000000"/>
          <w:sz w:val="21"/>
        </w:rPr>
        <w:t>[Filed without Notice 7/19/85—published 8/14/85, effective 9/18/85]</w:t>
      </w:r>
    </w:p>
    <w:p>
      <w:pPr>
        <w:spacing w:before="0" w:after="0"/>
        <w:ind w:left="120"/>
        <w:jc w:val="center"/>
      </w:pPr>
      <w:r>
        <w:rPr>
          <w:rFonts w:ascii="Times New Roman" w:hAnsi="Times New Roman"/>
          <w:b w:val="false"/>
          <w:i w:val="false"/>
          <w:color w:val="000000"/>
          <w:sz w:val="21"/>
        </w:rPr>
        <w:t>[Filed 7/19/85, Notice 5/22/85—published 8/14/85, effective 9/18/85]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after Notice 4/15/86, Notice 2/26/86—published 5/7/86, effective 4/18/86]</w:t>
      </w:r>
    </w:p>
    <w:p>
      <w:pPr>
        <w:spacing w:before="0" w:after="0"/>
        <w:ind w:left="120"/>
        <w:jc w:val="center"/>
      </w:pPr>
      <w:r>
        <w:rPr>
          <w:rFonts w:ascii="Times New Roman" w:hAnsi="Times New Roman"/>
          <w:b w:val="false"/>
          <w:i w:val="false"/>
          <w:color w:val="000000"/>
          <w:sz w:val="21"/>
        </w:rPr>
        <w:t>[Filed 9/22/86, Notice 8/13/86—published 10/8/86, effective 11/12/86]</w:t>
      </w:r>
    </w:p>
    <w:p>
      <w:pPr>
        <w:spacing w:before="0" w:after="0"/>
        <w:ind w:left="120"/>
        <w:jc w:val="center"/>
      </w:pPr>
      <w:r>
        <w:rPr>
          <w:rFonts w:ascii="Times New Roman" w:hAnsi="Times New Roman"/>
          <w:b w:val="false"/>
          <w:i w:val="false"/>
          <w:color w:val="000000"/>
          <w:sz w:val="21"/>
        </w:rPr>
        <w:t>[Filed 4/30/87, Notice 2/25/87—published 5/20/87, effective 6/24/87]</w:t>
      </w:r>
    </w:p>
    <w:p>
      <w:pPr>
        <w:spacing w:before="0" w:after="0"/>
        <w:ind w:left="120"/>
        <w:jc w:val="center"/>
      </w:pPr>
      <w:r>
        <w:rPr>
          <w:rFonts w:ascii="Times New Roman" w:hAnsi="Times New Roman"/>
          <w:b w:val="false"/>
          <w:i w:val="false"/>
          <w:color w:val="000000"/>
          <w:sz w:val="21"/>
        </w:rPr>
        <w:t>[Filed emergency 7/29/87—published 8/26/87, effective 7/29/87]</w:t>
      </w:r>
    </w:p>
    <w:p>
      <w:pPr>
        <w:spacing w:before="0" w:after="0"/>
        <w:ind w:left="120"/>
        <w:jc w:val="center"/>
      </w:pPr>
      <w:r>
        <w:rPr>
          <w:rFonts w:ascii="Times New Roman" w:hAnsi="Times New Roman"/>
          <w:b w:val="false"/>
          <w:i w:val="false"/>
          <w:color w:val="000000"/>
          <w:sz w:val="21"/>
        </w:rPr>
        <w:t>[Filed 10/2/87, Notice 7/15/87—published 10/21/87, effective 11/25/87]</w:t>
      </w:r>
    </w:p>
    <w:p>
      <w:pPr>
        <w:spacing w:before="0" w:after="0"/>
        <w:ind w:left="120"/>
        <w:jc w:val="center"/>
      </w:pPr>
      <w:r>
        <w:rPr>
          <w:rFonts w:ascii="Times New Roman" w:hAnsi="Times New Roman"/>
          <w:b w:val="false"/>
          <w:i w:val="false"/>
          <w:color w:val="000000"/>
          <w:sz w:val="21"/>
        </w:rPr>
        <w:t>[Filed 2/17/88, Notice 12/16/87—published 3/9/88, effective 4/13/88]</w:t>
      </w:r>
    </w:p>
    <w:p>
      <w:pPr>
        <w:spacing w:before="0" w:after="0"/>
        <w:ind w:left="120"/>
        <w:jc w:val="center"/>
      </w:pPr>
      <w:r>
        <w:rPr>
          <w:rFonts w:ascii="Times New Roman" w:hAnsi="Times New Roman"/>
          <w:b w:val="false"/>
          <w:i w:val="false"/>
          <w:color w:val="000000"/>
          <w:sz w:val="21"/>
        </w:rPr>
        <w:t>[Filed 3/10/88, Notice 9/9/87—published 4/6/88, effective 7/1/88]</w:t>
      </w:r>
    </w:p>
    <w:p>
      <w:pPr>
        <w:spacing w:before="0" w:after="0"/>
        <w:ind w:left="120"/>
        <w:jc w:val="center"/>
      </w:pPr>
      <w:r>
        <w:rPr>
          <w:rFonts w:ascii="Times New Roman" w:hAnsi="Times New Roman"/>
          <w:b w:val="false"/>
          <w:i w:val="false"/>
          <w:color w:val="000000"/>
          <w:sz w:val="21"/>
        </w:rPr>
        <w:t>[Filed emergency 4/15/88 after Notice 2/24/88—published 5/4/88, effective 4/15/88]</w:t>
      </w:r>
    </w:p>
    <w:p>
      <w:pPr>
        <w:spacing w:before="0" w:after="0"/>
        <w:ind w:left="120"/>
        <w:jc w:val="center"/>
      </w:pPr>
      <w:r>
        <w:rPr>
          <w:rFonts w:ascii="Times New Roman" w:hAnsi="Times New Roman"/>
          <w:b w:val="false"/>
          <w:i w:val="false"/>
          <w:color w:val="000000"/>
          <w:sz w:val="21"/>
        </w:rPr>
        <w:t>[Filed 8/4/88, Notice 4/20/88—published 8/24/88, effective 9/28/88]</w:t>
      </w:r>
    </w:p>
    <w:p>
      <w:pPr>
        <w:spacing w:before="0" w:after="0"/>
        <w:ind w:left="120"/>
        <w:jc w:val="center"/>
      </w:pPr>
      <w:r>
        <w:rPr>
          <w:rFonts w:ascii="Times New Roman" w:hAnsi="Times New Roman"/>
          <w:b w:val="false"/>
          <w:i w:val="false"/>
          <w:color w:val="000000"/>
          <w:sz w:val="21"/>
        </w:rPr>
        <w:t>[Filed 8/4/88, Notice 6/15/88—published 8/24/88, effective 9/28/88]</w:t>
      </w:r>
    </w:p>
    <w:p>
      <w:pPr>
        <w:spacing w:before="0" w:after="0"/>
        <w:ind w:left="120"/>
        <w:jc w:val="center"/>
      </w:pPr>
      <w:r>
        <w:rPr>
          <w:rFonts w:ascii="Times New Roman" w:hAnsi="Times New Roman"/>
          <w:b w:val="false"/>
          <w:i w:val="false"/>
          <w:color w:val="000000"/>
          <w:sz w:val="21"/>
        </w:rPr>
        <w:t>[Filed 9/12/88, Notice 6/29/88—published 10/5/88, effective 11/9/88]</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10/6/88, Notice 8/24/88—published 11/2/88, effective 12/7/88]</w:t>
      </w:r>
    </w:p>
    <w:p>
      <w:pPr>
        <w:spacing w:before="0" w:after="0"/>
        <w:ind w:left="120"/>
        <w:jc w:val="center"/>
      </w:pPr>
      <w:r>
        <w:rPr>
          <w:rFonts w:ascii="Times New Roman" w:hAnsi="Times New Roman"/>
          <w:b w:val="false"/>
          <w:i w:val="false"/>
          <w:color w:val="000000"/>
          <w:sz w:val="21"/>
        </w:rPr>
        <w:t>[Filed 5/26/89, Notice 2/22/89—published 6/14/89, effective 7/19/89]</w:t>
      </w:r>
    </w:p>
    <w:p>
      <w:pPr>
        <w:spacing w:before="0" w:after="0"/>
        <w:ind w:left="120"/>
        <w:jc w:val="center"/>
      </w:pPr>
      <w:r>
        <w:rPr>
          <w:rFonts w:ascii="Times New Roman" w:hAnsi="Times New Roman"/>
          <w:b w:val="false"/>
          <w:i w:val="false"/>
          <w:color w:val="000000"/>
          <w:sz w:val="21"/>
        </w:rPr>
        <w:t>[Filed 3/15/90, Notice 1/10/90—published 4/4/90, effective 5/9/90]</w:t>
      </w:r>
    </w:p>
    <w:p>
      <w:pPr>
        <w:spacing w:before="0" w:after="0"/>
        <w:ind w:left="120"/>
        <w:jc w:val="center"/>
      </w:pPr>
      <w:r>
        <w:rPr>
          <w:rFonts w:ascii="Times New Roman" w:hAnsi="Times New Roman"/>
          <w:b w:val="false"/>
          <w:i w:val="false"/>
          <w:color w:val="000000"/>
          <w:sz w:val="21"/>
        </w:rPr>
        <w:t>[Filed 12/20/91, Notice 10/16/91—published 1/8/92, effective 2/12/92]</w:t>
      </w:r>
    </w:p>
    <w:p>
      <w:pPr>
        <w:spacing w:before="0" w:after="0"/>
        <w:ind w:left="120"/>
        <w:jc w:val="center"/>
      </w:pPr>
      <w:r>
        <w:rPr>
          <w:rFonts w:ascii="Times New Roman" w:hAnsi="Times New Roman"/>
          <w:b w:val="false"/>
          <w:i w:val="false"/>
          <w:color w:val="000000"/>
          <w:sz w:val="21"/>
        </w:rPr>
        <w:t>[Filed emergency 2/10/93 after Notice 1/6/93—published 3/3/93, effective 2/10/93]</w:t>
      </w:r>
    </w:p>
    <w:p>
      <w:pPr>
        <w:spacing w:before="0" w:after="0"/>
        <w:ind w:left="120"/>
        <w:jc w:val="center"/>
      </w:pPr>
      <w:r>
        <w:rPr>
          <w:rFonts w:ascii="Times New Roman" w:hAnsi="Times New Roman"/>
          <w:b w:val="false"/>
          <w:i w:val="false"/>
          <w:color w:val="000000"/>
          <w:sz w:val="21"/>
        </w:rPr>
        <w:t>[Filed 12/8/93, Notice 10/13/93—published 1/5/94, effective 2/9/94]</w:t>
      </w:r>
    </w:p>
    <w:p>
      <w:pPr>
        <w:spacing w:before="0" w:after="0"/>
        <w:ind w:left="120"/>
        <w:jc w:val="center"/>
      </w:pPr>
      <w:r>
        <w:rPr>
          <w:rFonts w:ascii="Times New Roman" w:hAnsi="Times New Roman"/>
          <w:b w:val="false"/>
          <w:i w:val="false"/>
          <w:color w:val="000000"/>
          <w:sz w:val="21"/>
        </w:rPr>
        <w:t>[Filed 6/16/94, Notice 4/13/94—published 7/6/94, effective 8/10/94]</w:t>
      </w:r>
    </w:p>
    <w:p>
      <w:pPr>
        <w:spacing w:before="0" w:after="0"/>
        <w:ind w:left="120"/>
        <w:jc w:val="center"/>
      </w:pPr>
      <w:r>
        <w:rPr>
          <w:rFonts w:ascii="Times New Roman" w:hAnsi="Times New Roman"/>
          <w:b w:val="false"/>
          <w:i w:val="false"/>
          <w:color w:val="000000"/>
          <w:sz w:val="21"/>
        </w:rPr>
        <w:t>[Filed 9/30/94, Notice 7/6/94—published 10/26/94, effective 11/30/94]</w:t>
      </w:r>
    </w:p>
    <w:p>
      <w:pPr>
        <w:spacing w:before="0" w:after="0"/>
        <w:ind w:left="120"/>
        <w:jc w:val="center"/>
      </w:pPr>
      <w:r>
        <w:rPr>
          <w:rFonts w:ascii="Times New Roman" w:hAnsi="Times New Roman"/>
          <w:b w:val="false"/>
          <w:i w:val="false"/>
          <w:color w:val="000000"/>
          <w:sz w:val="21"/>
        </w:rPr>
        <w:t>[Filed 6/15/95, Notice 4/12/95—published 7/5/95, effective 8/9/95]</w:t>
      </w:r>
    </w:p>
    <w:p>
      <w:pPr>
        <w:spacing w:before="0" w:after="0"/>
        <w:ind w:left="120"/>
        <w:jc w:val="center"/>
      </w:pPr>
      <w:r>
        <w:rPr>
          <w:rFonts w:ascii="Times New Roman" w:hAnsi="Times New Roman"/>
          <w:b w:val="false"/>
          <w:i w:val="false"/>
          <w:color w:val="000000"/>
          <w:sz w:val="21"/>
        </w:rPr>
        <w:t>[Filed 10/5/95, Notice 7/5/95—published 10/25/95, effective 11/29/95]</w:t>
      </w:r>
    </w:p>
    <w:p>
      <w:pPr>
        <w:spacing w:before="0" w:after="0"/>
        <w:ind w:left="120"/>
        <w:jc w:val="center"/>
      </w:pPr>
      <w:r>
        <w:rPr>
          <w:rFonts w:ascii="Times New Roman" w:hAnsi="Times New Roman"/>
          <w:b w:val="false"/>
          <w:i w:val="false"/>
          <w:color w:val="000000"/>
          <w:sz w:val="21"/>
        </w:rPr>
        <w:t>[Filed 12/14/95, Notice 10/25/95—published 1/3/96, effective 2/7/96]</w:t>
      </w:r>
    </w:p>
    <w:p>
      <w:pPr>
        <w:spacing w:before="0" w:after="0"/>
        <w:ind w:left="120"/>
        <w:jc w:val="center"/>
      </w:pPr>
      <w:r>
        <w:rPr>
          <w:rFonts w:ascii="Times New Roman" w:hAnsi="Times New Roman"/>
          <w:b w:val="false"/>
          <w:i w:val="false"/>
          <w:color w:val="000000"/>
          <w:sz w:val="21"/>
        </w:rPr>
        <w:t>[Filed 4/29/99, Notice 3/24/99—published 5/19/99, effective 6/23/99]</w:t>
      </w:r>
    </w:p>
    <w:p>
      <w:pPr>
        <w:spacing w:before="0" w:after="0"/>
        <w:ind w:left="120"/>
        <w:jc w:val="center"/>
      </w:pPr>
      <w:r>
        <w:rPr>
          <w:rFonts w:ascii="Times New Roman" w:hAnsi="Times New Roman"/>
          <w:b w:val="false"/>
          <w:i w:val="false"/>
          <w:color w:val="000000"/>
          <w:sz w:val="21"/>
        </w:rPr>
        <w:t>[Filed 8/17/99, Notice 6/30/99—published 9/8/99, effective 10/13/99]</w:t>
      </w:r>
    </w:p>
    <w:p>
      <w:pPr>
        <w:spacing w:before="0" w:after="0"/>
        <w:ind w:left="120"/>
        <w:jc w:val="center"/>
      </w:pPr>
      <w:r>
        <w:rPr>
          <w:rFonts w:ascii="Times New Roman" w:hAnsi="Times New Roman"/>
          <w:b w:val="false"/>
          <w:i w:val="false"/>
          <w:color w:val="000000"/>
          <w:sz w:val="21"/>
        </w:rPr>
        <w:t>[Filed 9/28/99, Notice 8/25/99—published 10/20/99, effective 11/24/99]</w:t>
      </w:r>
    </w:p>
    <w:p>
      <w:pPr>
        <w:spacing w:before="0" w:after="0"/>
        <w:ind w:left="120"/>
        <w:jc w:val="center"/>
      </w:pPr>
      <w:r>
        <w:rPr>
          <w:rFonts w:ascii="Times New Roman" w:hAnsi="Times New Roman"/>
          <w:b w:val="false"/>
          <w:i w:val="false"/>
          <w:color w:val="000000"/>
          <w:sz w:val="21"/>
        </w:rPr>
        <w:t>[Filed 12/10/99, Notice 10/20/99—published 12/29/99, effective 2/2/00]</w:t>
      </w:r>
    </w:p>
    <w:p>
      <w:pPr>
        <w:spacing w:before="0" w:after="0"/>
        <w:ind w:left="120"/>
        <w:jc w:val="center"/>
      </w:pPr>
      <w:r>
        <w:rPr>
          <w:rFonts w:ascii="Times New Roman" w:hAnsi="Times New Roman"/>
          <w:b w:val="false"/>
          <w:i w:val="false"/>
          <w:color w:val="000000"/>
          <w:sz w:val="21"/>
        </w:rPr>
        <w:t>[Filed emergency 6/9/00—published 6/28/00, effective 6/30/00]</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emergency 11/9/00—published 11/29/00, effective 11/9/00]</w:t>
      </w:r>
    </w:p>
    <w:p>
      <w:pPr>
        <w:spacing w:before="0" w:after="0"/>
        <w:ind w:left="120"/>
        <w:jc w:val="center"/>
      </w:pPr>
      <w:r>
        <w:rPr>
          <w:rFonts w:ascii="Times New Roman" w:hAnsi="Times New Roman"/>
          <w:b w:val="false"/>
          <w:i w:val="false"/>
          <w:color w:val="000000"/>
          <w:sz w:val="21"/>
        </w:rPr>
        <w:t>[Filed 3/15/01, Notice 1/10/01—published 4/4/01, effective 5/9/01]</w:t>
      </w:r>
    </w:p>
    <w:p>
      <w:pPr>
        <w:spacing w:before="0" w:after="0"/>
        <w:ind w:left="120"/>
        <w:jc w:val="center"/>
      </w:pPr>
      <w:r>
        <w:rPr>
          <w:rFonts w:ascii="Times New Roman" w:hAnsi="Times New Roman"/>
          <w:b w:val="false"/>
          <w:i w:val="false"/>
          <w:color w:val="000000"/>
          <w:sz w:val="21"/>
        </w:rPr>
        <w:t>[Filed 9/28/01, Notice 6/27/01—published 10/17/01, effective 11/21/01]</w:t>
      </w:r>
    </w:p>
    <w:p>
      <w:pPr>
        <w:spacing w:before="0" w:after="0"/>
        <w:ind w:left="120"/>
        <w:jc w:val="center"/>
      </w:pPr>
      <w:r>
        <w:rPr>
          <w:rFonts w:ascii="Times New Roman" w:hAnsi="Times New Roman"/>
          <w:b w:val="false"/>
          <w:i w:val="false"/>
          <w:color w:val="000000"/>
          <w:sz w:val="21"/>
        </w:rPr>
        <w:t>[Filed 12/7/01, Notice 10/17/01—published 12/26/01, effective 1/30/02]</w:t>
      </w:r>
    </w:p>
    <w:p>
      <w:pPr>
        <w:spacing w:before="0" w:after="0"/>
        <w:ind w:left="120"/>
        <w:jc w:val="center"/>
      </w:pPr>
      <w:r>
        <w:rPr>
          <w:rFonts w:ascii="Times New Roman" w:hAnsi="Times New Roman"/>
          <w:b w:val="false"/>
          <w:i w:val="false"/>
          <w:color w:val="000000"/>
          <w:sz w:val="21"/>
        </w:rPr>
        <w:t>[Filed 2/8/02, Notice 12/26/01—published 3/6/02, effective 4/10/02]</w:t>
      </w:r>
    </w:p>
    <w:p>
      <w:pPr>
        <w:spacing w:before="0" w:after="0"/>
        <w:ind w:left="120"/>
        <w:jc w:val="center"/>
      </w:pPr>
      <w:r>
        <w:rPr>
          <w:rFonts w:ascii="Times New Roman" w:hAnsi="Times New Roman"/>
          <w:b w:val="false"/>
          <w:i w:val="false"/>
          <w:color w:val="000000"/>
          <w:sz w:val="21"/>
        </w:rPr>
        <w:t>[Filed emergency 6/7/02—published 6/26/02, effective 7/1/02]</w:t>
      </w:r>
    </w:p>
    <w:p>
      <w:pPr>
        <w:spacing w:before="0" w:after="0"/>
        <w:ind w:left="120"/>
        <w:jc w:val="center"/>
      </w:pPr>
      <w:r>
        <w:rPr>
          <w:rFonts w:ascii="Times New Roman" w:hAnsi="Times New Roman"/>
          <w:b w:val="false"/>
          <w:i w:val="false"/>
          <w:color w:val="000000"/>
          <w:sz w:val="21"/>
        </w:rPr>
        <w:t>[Filed 6/7/02, Notice 3/20/02—published 6/26/02, effective 7/31/02]</w:t>
      </w:r>
    </w:p>
    <w:p>
      <w:pPr>
        <w:spacing w:before="0" w:after="0"/>
        <w:ind w:left="120"/>
        <w:jc w:val="center"/>
      </w:pPr>
      <w:r>
        <w:rPr>
          <w:rFonts w:ascii="Times New Roman" w:hAnsi="Times New Roman"/>
          <w:b w:val="false"/>
          <w:i w:val="false"/>
          <w:color w:val="000000"/>
          <w:sz w:val="21"/>
        </w:rPr>
        <w:t>[Filed 7/18/02, Notice 5/15/02—published 8/7/02, effective 9/11/02]</w:t>
      </w:r>
    </w:p>
    <w:p>
      <w:pPr>
        <w:spacing w:before="0" w:after="0"/>
        <w:ind w:left="120"/>
        <w:jc w:val="center"/>
      </w:pPr>
      <w:r>
        <w:rPr>
          <w:rFonts w:ascii="Times New Roman" w:hAnsi="Times New Roman"/>
          <w:b w:val="false"/>
          <w:i w:val="false"/>
          <w:color w:val="000000"/>
          <w:sz w:val="21"/>
        </w:rPr>
        <w:t>[Filed 9/12/02, Notice 6/26/02—published 10/2/02, effective 11/6/02]</w:t>
      </w:r>
    </w:p>
    <w:p>
      <w:pPr>
        <w:spacing w:before="0" w:after="0"/>
        <w:ind w:left="120"/>
        <w:jc w:val="center"/>
      </w:pPr>
      <w:r>
        <w:rPr>
          <w:rFonts w:ascii="Times New Roman" w:hAnsi="Times New Roman"/>
          <w:b w:val="false"/>
          <w:i w:val="false"/>
          <w:color w:val="000000"/>
          <w:sz w:val="21"/>
        </w:rPr>
        <w:t>[Filed 12/6/02, Notice 10/2/02—published 12/25/02, effective 1/29/03]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6/6/03, Notice 4/2/03—published 6/25/03, effective 7/30/03]</w:t>
      </w:r>
    </w:p>
    <w:p>
      <w:pPr>
        <w:spacing w:before="0" w:after="0"/>
        <w:ind w:left="120"/>
        <w:jc w:val="center"/>
      </w:pPr>
      <w:r>
        <w:rPr>
          <w:rFonts w:ascii="Times New Roman" w:hAnsi="Times New Roman"/>
          <w:b w:val="false"/>
          <w:i w:val="false"/>
          <w:color w:val="000000"/>
          <w:sz w:val="21"/>
        </w:rPr>
        <w:t>[Filed 6/6/03, Notice 4/30/03—published 6/25/03, effective 7/30/03]</w:t>
      </w:r>
    </w:p>
    <w:p>
      <w:pPr>
        <w:spacing w:before="0" w:after="0"/>
        <w:ind w:left="120"/>
        <w:jc w:val="center"/>
      </w:pPr>
      <w:r>
        <w:rPr>
          <w:rFonts w:ascii="Times New Roman" w:hAnsi="Times New Roman"/>
          <w:b w:val="false"/>
          <w:i w:val="false"/>
          <w:color w:val="000000"/>
          <w:sz w:val="21"/>
        </w:rPr>
        <w:t>[Filed 12/5/03, Notice 10/1/03—published 12/24/03, effective 1/28/04]</w:t>
      </w:r>
    </w:p>
    <w:p>
      <w:pPr>
        <w:spacing w:before="0" w:after="0"/>
        <w:ind w:left="120"/>
        <w:jc w:val="center"/>
      </w:pPr>
      <w:r>
        <w:rPr>
          <w:rFonts w:ascii="Times New Roman" w:hAnsi="Times New Roman"/>
          <w:b w:val="false"/>
          <w:i w:val="false"/>
          <w:color w:val="000000"/>
          <w:sz w:val="21"/>
        </w:rPr>
        <w:t>[Filed 10/1/04, Notice 7/7/04—published 10/27/04, effective 1/3/05]</w:t>
      </w:r>
    </w:p>
    <w:p>
      <w:pPr>
        <w:spacing w:before="0" w:after="0"/>
        <w:ind w:left="120"/>
        <w:jc w:val="center"/>
      </w:pPr>
      <w:r>
        <w:rPr>
          <w:rFonts w:ascii="Times New Roman" w:hAnsi="Times New Roman"/>
          <w:b w:val="false"/>
          <w:i w:val="false"/>
          <w:color w:val="000000"/>
          <w:sz w:val="21"/>
        </w:rPr>
        <w:t>[Filed 6/16/05, Notice 4/13/05—published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3/22/06, Notice 1/4/06—published 4/12/06, effective 5/17/06]</w:t>
      </w:r>
    </w:p>
    <w:p>
      <w:pPr>
        <w:spacing w:before="0" w:after="0"/>
        <w:ind w:left="120"/>
        <w:jc w:val="center"/>
      </w:pPr>
      <w:r>
        <w:rPr>
          <w:rFonts w:ascii="Times New Roman" w:hAnsi="Times New Roman"/>
          <w:b w:val="false"/>
          <w:i w:val="false"/>
          <w:color w:val="000000"/>
          <w:sz w:val="21"/>
        </w:rPr>
        <w:t>[Filed 6/19/07, Notice 3/28/07—published 7/18/07, effective 8/22/07]</w:t>
      </w:r>
    </w:p>
    <w:p>
      <w:pPr>
        <w:spacing w:before="0" w:after="0"/>
        <w:ind w:left="120"/>
        <w:jc w:val="center"/>
      </w:pPr>
      <w:r>
        <w:rPr>
          <w:rFonts w:ascii="Times New Roman" w:hAnsi="Times New Roman"/>
          <w:b w:val="false"/>
          <w:i w:val="false"/>
          <w:color w:val="000000"/>
          <w:sz w:val="21"/>
        </w:rPr>
        <w:t>[Filed ARC 7664B</w:t>
      </w:r>
      <w:r>
        <w:rPr>
          <w:rFonts w:ascii="Times New Roman" w:hAnsi="Times New Roman"/>
          <w:b w:val="false"/>
          <w:i w:val="false"/>
          <w:color w:val="000000"/>
          <w:sz w:val="21"/>
        </w:rPr>
        <w:t xml:space="preserve"> (Notice ARC 7485B, IAB 1/14/09)</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8222B</w:t>
      </w:r>
      <w:r>
        <w:rPr>
          <w:rFonts w:ascii="Times New Roman" w:hAnsi="Times New Roman"/>
          <w:b w:val="false"/>
          <w:i w:val="false"/>
          <w:color w:val="000000"/>
          <w:sz w:val="21"/>
        </w:rPr>
        <w:t xml:space="preserve"> (Notice ARC 7889B,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8810B</w:t>
      </w:r>
      <w:r>
        <w:rPr>
          <w:rFonts w:ascii="Times New Roman" w:hAnsi="Times New Roman"/>
          <w:b w:val="false"/>
          <w:i w:val="false"/>
          <w:color w:val="000000"/>
          <w:sz w:val="21"/>
        </w:rPr>
        <w:t xml:space="preserve"> (Notice ARC 8675B, IAB 4/7/10)</w:t>
      </w:r>
      <w:r>
        <w:rPr>
          <w:rFonts w:ascii="Times New Roman" w:hAnsi="Times New Roman"/>
          <w:b w:val="false"/>
          <w:i w:val="false"/>
          <w:color w:val="000000"/>
          <w:sz w:val="21"/>
        </w:rPr>
        <w:t>, IAB 6/2/10, effective 7/7/10]</w:t>
      </w:r>
    </w:p>
    <w:p>
      <w:pPr>
        <w:spacing w:before="0" w:after="0"/>
        <w:ind w:left="120"/>
        <w:jc w:val="center"/>
      </w:pPr>
      <w:r>
        <w:rPr>
          <w:rFonts w:ascii="Times New Roman" w:hAnsi="Times New Roman"/>
          <w:b w:val="false"/>
          <w:i w:val="false"/>
          <w:color w:val="000000"/>
          <w:sz w:val="21"/>
        </w:rPr>
        <w:t>[Filed ARC 1130C</w:t>
      </w:r>
      <w:r>
        <w:rPr>
          <w:rFonts w:ascii="Times New Roman" w:hAnsi="Times New Roman"/>
          <w:b w:val="false"/>
          <w:i w:val="false"/>
          <w:color w:val="000000"/>
          <w:sz w:val="21"/>
        </w:rPr>
        <w:t xml:space="preserve"> (Notice ARC 0810C, IAB 6/26/13)</w:t>
      </w:r>
      <w:r>
        <w:rPr>
          <w:rFonts w:ascii="Times New Roman" w:hAnsi="Times New Roman"/>
          <w:b w:val="false"/>
          <w:i w:val="false"/>
          <w:color w:val="000000"/>
          <w:sz w:val="21"/>
        </w:rPr>
        <w:t>, IAB 10/30/13, effective 12/4/13]</w:t>
      </w:r>
      <w:r>
        <w:br/>
      </w:r>
      <w:r>
        <w:rPr>
          <w:rFonts w:ascii="Times New Roman" w:hAnsi="Times New Roman"/>
          <w:b w:val="false"/>
          <w:i w:val="false"/>
          <w:color w:val="000000"/>
          <w:sz w:val="21"/>
        </w:rPr>
        <w:t>[Filed ARC 1131C</w:t>
      </w:r>
      <w:r>
        <w:rPr>
          <w:rFonts w:ascii="Times New Roman" w:hAnsi="Times New Roman"/>
          <w:b w:val="false"/>
          <w:i w:val="false"/>
          <w:color w:val="000000"/>
          <w:sz w:val="21"/>
        </w:rPr>
        <w:t xml:space="preserve"> (Notice ARC 0876C, IAB 7/24/13)</w:t>
      </w:r>
      <w:r>
        <w:rPr>
          <w:rFonts w:ascii="Times New Roman" w:hAnsi="Times New Roman"/>
          <w:b w:val="false"/>
          <w:i w:val="false"/>
          <w:color w:val="000000"/>
          <w:sz w:val="21"/>
        </w:rPr>
        <w:t>, IAB 10/30/13, effective 12/4/13]</w:t>
      </w:r>
    </w:p>
    <w:p>
      <w:pPr>
        <w:spacing w:before="0" w:after="0"/>
        <w:ind w:left="120"/>
        <w:jc w:val="center"/>
      </w:pPr>
      <w:r>
        <w:rPr>
          <w:rFonts w:ascii="Times New Roman" w:hAnsi="Times New Roman"/>
          <w:b w:val="false"/>
          <w:i w:val="false"/>
          <w:color w:val="000000"/>
          <w:sz w:val="21"/>
        </w:rPr>
        <w:t>[Filed ARC 1815C</w:t>
      </w:r>
      <w:r>
        <w:rPr>
          <w:rFonts w:ascii="Times New Roman" w:hAnsi="Times New Roman"/>
          <w:b w:val="false"/>
          <w:i w:val="false"/>
          <w:color w:val="000000"/>
          <w:sz w:val="21"/>
        </w:rPr>
        <w:t xml:space="preserve"> (Notice ARC 1569C, IAB 8/6/14)</w:t>
      </w:r>
      <w:r>
        <w:rPr>
          <w:rFonts w:ascii="Times New Roman" w:hAnsi="Times New Roman"/>
          <w:b w:val="false"/>
          <w:i w:val="false"/>
          <w:color w:val="000000"/>
          <w:sz w:val="21"/>
        </w:rPr>
        <w:t>, IAB 1/7/15, effective 2/11/15]</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3465C</w:t>
      </w:r>
      <w:r>
        <w:rPr>
          <w:rFonts w:ascii="Times New Roman" w:hAnsi="Times New Roman"/>
          <w:b w:val="false"/>
          <w:i w:val="false"/>
          <w:color w:val="000000"/>
          <w:sz w:val="21"/>
        </w:rPr>
        <w:t xml:space="preserve"> (Notice ARC 3046C, IAB 5/10/17)</w:t>
      </w:r>
      <w:r>
        <w:rPr>
          <w:rFonts w:ascii="Times New Roman" w:hAnsi="Times New Roman"/>
          <w:b w:val="false"/>
          <w:i w:val="false"/>
          <w:color w:val="000000"/>
          <w:sz w:val="21"/>
        </w:rPr>
        <w:t>, IAB 11/22/17, effective 1/1/18]</w:t>
      </w:r>
    </w:p>
    <w:p>
      <w:pPr>
        <w:spacing w:before="0" w:after="0"/>
        <w:ind w:left="120"/>
        <w:jc w:val="center"/>
      </w:pPr>
      <w:r>
        <w:rPr>
          <w:rFonts w:ascii="Times New Roman" w:hAnsi="Times New Roman"/>
          <w:b w:val="false"/>
          <w:i w:val="false"/>
          <w:color w:val="000000"/>
          <w:sz w:val="21"/>
        </w:rPr>
        <w:t>[Filed ARC 4413C</w:t>
      </w:r>
      <w:r>
        <w:rPr>
          <w:rFonts w:ascii="Times New Roman" w:hAnsi="Times New Roman"/>
          <w:b w:val="false"/>
          <w:i w:val="false"/>
          <w:color w:val="000000"/>
          <w:sz w:val="21"/>
        </w:rPr>
        <w:t xml:space="preserve"> (Notice ARC 4286C, IAB 2/13/19)</w:t>
      </w:r>
      <w:r>
        <w:rPr>
          <w:rFonts w:ascii="Times New Roman" w:hAnsi="Times New Roman"/>
          <w:b w:val="false"/>
          <w:i w:val="false"/>
          <w:color w:val="000000"/>
          <w:sz w:val="21"/>
        </w:rPr>
        <w:t>, IAB 4/24/19, effective 5/29/19]</w:t>
      </w:r>
    </w:p>
    <w:p>
      <w:pPr>
        <w:spacing w:before="0" w:after="0"/>
        <w:ind w:left="120"/>
        <w:jc w:val="center"/>
      </w:pPr>
      <w:r>
        <w:rPr>
          <w:rFonts w:ascii="Times New Roman" w:hAnsi="Times New Roman"/>
          <w:b w:val="false"/>
          <w:i w:val="false"/>
          <w:color w:val="000000"/>
          <w:sz w:val="21"/>
        </w:rPr>
        <w:t>[Filed ARC 4926C</w:t>
      </w:r>
      <w:r>
        <w:rPr>
          <w:rFonts w:ascii="Times New Roman" w:hAnsi="Times New Roman"/>
          <w:b w:val="false"/>
          <w:i w:val="false"/>
          <w:color w:val="000000"/>
          <w:sz w:val="21"/>
        </w:rPr>
        <w:t xml:space="preserve"> (Notice ARC 4743C,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6197C</w:t>
      </w:r>
      <w:r>
        <w:rPr>
          <w:rFonts w:ascii="Times New Roman" w:hAnsi="Times New Roman"/>
          <w:b w:val="false"/>
          <w:i w:val="false"/>
          <w:color w:val="000000"/>
          <w:sz w:val="21"/>
        </w:rPr>
        <w:t xml:space="preserve"> (Notice ARC 6048C, IAB 11/17/21)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9160C</w:t>
      </w:r>
      <w:r>
        <w:rPr>
          <w:rFonts w:ascii="Times New Roman" w:hAnsi="Times New Roman"/>
          <w:b w:val="false"/>
          <w:i w:val="false"/>
          <w:color w:val="000000"/>
          <w:sz w:val="21"/>
        </w:rPr>
        <w:t xml:space="preserve"> (Notice ARC 8767C, IAB 1/22/25)</w:t>
      </w:r>
      <w:r>
        <w:rPr>
          <w:rFonts w:ascii="Times New Roman" w:hAnsi="Times New Roman"/>
          <w:b w:val="false"/>
          <w:i w:val="false"/>
          <w:color w:val="000000"/>
          <w:sz w:val="21"/>
        </w:rPr>
        <w:t>, IAB 4/30/25, effective 6/4/25]</w:t>
      </w:r>
    </w:p>
    <w:p>
      <w:pPr>
        <w:spacing w:before="0" w:after="0"/>
        <w:ind w:left="120"/>
        <w:jc w:val="center"/>
      </w:pPr>
      <w:r>
        <w:rPr>
          <w:rFonts w:ascii="Times New Roman" w:hAnsi="Times New Roman"/>
          <w:b w:val="false"/>
          <w:i w:val="false"/>
          <w:color w:val="000000"/>
          <w:sz w:val="21"/>
        </w:rPr>
        <w:t>[Editorial change: IAC Supplement 6/11/25]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History relating also to “Licensure to Practice—Licensed Practical Nurse,” Ch 4 prior to IAC 5/23/84.</w:t>
      </w:r>
    </w:p>
    <w:p>
      <w:pPr>
        <w:pBdr>
          <w:bottom w:space="2"/>
        </w:pBdr>
        <w:spacing w:before="0" w:after="0"/>
        <w:ind w:left="120"/>
        <w:jc w:val="both"/>
      </w:pPr>
      <w:r>
        <w:rPr>
          <w:rFonts w:ascii="Times New Roman" w:hAnsi="Times New Roman"/>
          <w:b w:val="false"/>
          <w:i w:val="false"/>
          <w:color w:val="000000"/>
          <w:sz w:val="22"/>
        </w:rPr>
        <w:t>Effective date of 11/9/88 delayed 70 days by the Administrative Rules Review Committee at its October meeting. Delay lifted by ARRC 11/16/88.</w:t>
      </w:r>
    </w:p>
    <w:sectPr>
      <w:footerReference r:id="rId4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2E.pdf" Type="http://schemas.openxmlformats.org/officeDocument/2006/relationships/hyperlink" Id="rId5"/>
    <Relationship TargetMode="External" Target="https://www.legis.iowa.gov/docs/ico/chapter/152E.pdf" Type="http://schemas.openxmlformats.org/officeDocument/2006/relationships/hyperlink" Id="rId6"/>
    <Relationship TargetMode="External" Target="https://www.legis.iowa.gov/docs/iac/rule/655.3.2.pdf" Type="http://schemas.openxmlformats.org/officeDocument/2006/relationships/hyperlink" Id="rId7"/>
    <Relationship TargetMode="External" Target="https://www.legis.iowa.gov/docs/ico/chapter/152.1.pdf" Type="http://schemas.openxmlformats.org/officeDocument/2006/relationships/hyperlink" Id="rId8"/>
    <Relationship TargetMode="External" Target="https://www.legis.iowa.gov/docs/ico/chapter/152E.pdf" Type="http://schemas.openxmlformats.org/officeDocument/2006/relationships/hyperlink" Id="rId9"/>
    <Relationship TargetMode="External" Target="https://www.legis.iowa.gov/docs/iac/rule/481.617.11.pdf" Type="http://schemas.openxmlformats.org/officeDocument/2006/relationships/hyperlink" Id="rId10"/>
    <Relationship TargetMode="External" Target="https://www.legis.iowa.gov/docs/iac/rule/481.617.11.pdf" Type="http://schemas.openxmlformats.org/officeDocument/2006/relationships/hyperlink" Id="rId11"/>
    <Relationship TargetMode="External" Target="https://www.legis.iowa.gov/docs/iac/rule/655.617.5.pdf" Type="http://schemas.openxmlformats.org/officeDocument/2006/relationships/hyperlink" Id="rId12"/>
    <Relationship TargetMode="External" Target="https://www.legis.iowa.gov/docs/iac/rule/655.617.5.pdf" Type="http://schemas.openxmlformats.org/officeDocument/2006/relationships/hyperlink" Id="rId13"/>
    <Relationship TargetMode="External" Target="https://www.legis.iowa.gov/docs/iac/rule/655.617.5.pdf" Type="http://schemas.openxmlformats.org/officeDocument/2006/relationships/hyperlink" Id="rId14"/>
    <Relationship TargetMode="External" Target="https://www.legis.iowa.gov/docs/iac/rule/655.617.5.pdf" Type="http://schemas.openxmlformats.org/officeDocument/2006/relationships/hyperlink" Id="rId15"/>
    <Relationship TargetMode="External" Target="https://www.legis.iowa.gov/docs/iac/rule/655.617.5.pdf" Type="http://schemas.openxmlformats.org/officeDocument/2006/relationships/hyperlink" Id="rId16"/>
    <Relationship TargetMode="External" Target="https://www.legis.iowa.gov/docs/iac/rule/655.617.5.pdf" Type="http://schemas.openxmlformats.org/officeDocument/2006/relationships/hyperlink" Id="rId17"/>
    <Relationship TargetMode="External" Target="https://www.legis.iowa.gov/docs/iac/rule/655.617.4.pdf" Type="http://schemas.openxmlformats.org/officeDocument/2006/relationships/hyperlink" Id="rId18"/>
    <Relationship TargetMode="External" Target="https://www.legis.iowa.gov/docs/iac/rule/481.617.12.pdf" Type="http://schemas.openxmlformats.org/officeDocument/2006/relationships/hyperlink" Id="rId19"/>
    <Relationship TargetMode="External" Target="http://www.nursys.com" Type="http://schemas.openxmlformats.org/officeDocument/2006/relationships/hyperlink" Id="rId20"/>
    <Relationship TargetMode="External" Target="https://www.legis.iowa.gov/docs/iac/rule/481.617.11.pdf" Type="http://schemas.openxmlformats.org/officeDocument/2006/relationships/hyperlink" Id="rId21"/>
    <Relationship TargetMode="External" Target="https://www.legis.iowa.gov/docs/iac/rule/655.617.5.pdf" Type="http://schemas.openxmlformats.org/officeDocument/2006/relationships/hyperlink" Id="rId22"/>
    <Relationship TargetMode="External" Target="https://www.legis.iowa.gov/docs/iac/rule/655.617.5.pdf" Type="http://schemas.openxmlformats.org/officeDocument/2006/relationships/hyperlink" Id="rId23"/>
    <Relationship TargetMode="External" Target="https://www.legis.iowa.gov/docs/iac/chapter/481.619.pdf" Type="http://schemas.openxmlformats.org/officeDocument/2006/relationships/hyperlink" Id="rId24"/>
    <Relationship TargetMode="External" Target="https://www.legis.iowa.gov/docs/ico/chapter/232.69.pdf" Type="http://schemas.openxmlformats.org/officeDocument/2006/relationships/hyperlink" Id="rId25"/>
    <Relationship TargetMode="External" Target="https://www.legis.iowa.gov/docs/iac/rule/481.617.8.pdf" Type="http://schemas.openxmlformats.org/officeDocument/2006/relationships/hyperlink" Id="rId26"/>
    <Relationship TargetMode="External" Target="https://www.legis.iowa.gov/docs/ico/chapter/235B.16.pdf" Type="http://schemas.openxmlformats.org/officeDocument/2006/relationships/hyperlink" Id="rId27"/>
    <Relationship TargetMode="External" Target="https://www.legis.iowa.gov/docs/iac/rule/481.617.8.pdf" Type="http://schemas.openxmlformats.org/officeDocument/2006/relationships/hyperlink" Id="rId28"/>
    <Relationship TargetMode="External" Target="https://www.legis.iowa.gov/docs/iac/rule/481.617.8.pdf" Type="http://schemas.openxmlformats.org/officeDocument/2006/relationships/hyperlink" Id="rId29"/>
    <Relationship TargetMode="External" Target="https://www.legis.iowa.gov/docs/iac/chapter/481.619.pdf" Type="http://schemas.openxmlformats.org/officeDocument/2006/relationships/hyperlink" Id="rId30"/>
    <Relationship TargetMode="External" Target="https://www.legis.iowa.gov/docs/iac/rule/481.617.8.pdf" Type="http://schemas.openxmlformats.org/officeDocument/2006/relationships/hyperlink" Id="rId31"/>
    <Relationship TargetMode="External" Target="https://www.legis.iowa.gov/docs/iac/chapter/481.619.pdf" Type="http://schemas.openxmlformats.org/officeDocument/2006/relationships/hyperlink" Id="rId32"/>
    <Relationship TargetMode="External" Target="https://www.legis.iowa.gov/docs/iac/rule/481.617.11.pdf" Type="http://schemas.openxmlformats.org/officeDocument/2006/relationships/hyperlink" Id="rId33"/>
    <Relationship TargetMode="External" Target="https://www.legis.iowa.gov/docs/iac/rule/481.617.2.pdf" Type="http://schemas.openxmlformats.org/officeDocument/2006/relationships/hyperlink" Id="rId34"/>
    <Relationship TargetMode="External" Target="https://www.legis.iowa.gov/docs/iac/chapter/481.506.pdf" Type="http://schemas.openxmlformats.org/officeDocument/2006/relationships/hyperlink" Id="rId35"/>
    <Relationship TargetMode="External" Target="https://www.legis.iowa.gov/docs/iac/rule/655.617.11.pdf" Type="http://schemas.openxmlformats.org/officeDocument/2006/relationships/hyperlink" Id="rId36"/>
    <Relationship TargetMode="External" Target="https://www.legis.iowa.gov/docs/ico/chapter/272C.15.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147.pdf" Type="http://schemas.openxmlformats.org/officeDocument/2006/relationships/hyperlink" Id="rId40"/>
    <Relationship TargetMode="External" Target="https://www.legis.iowa.gov/docs/ico/chapter/152.pdf" Type="http://schemas.openxmlformats.org/officeDocument/2006/relationships/hyperlink" Id="rId41"/>
    <Relationship TargetMode="External" Target="https://www.legis.iowa.gov/docs/ico/chapter/152E.pdf" Type="http://schemas.openxmlformats.org/officeDocument/2006/relationships/hyperlink" Id="rId42"/>
    <Relationship TargetMode="External" Target="https://www.legis.iowa.gov/docs/ico/chapter/272C.pdf"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