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616</w:t>
      </w:r>
    </w:p>
    <w:p>
      <w:pPr>
        <w:spacing w:before="0" w:after="0"/>
        <w:ind w:left="120"/>
        <w:jc w:val="center"/>
      </w:pPr>
      <w:r>
        <w:rPr>
          <w:rFonts w:ascii="Times New Roman" w:hAnsi="Times New Roman"/>
          <w:b w:val="false"/>
          <w:i w:val="false"/>
          <w:color w:val="000000"/>
          <w:sz w:val="21"/>
        </w:rPr>
        <w:t>NURSING EDUCATION PROGRAMS</w:t>
      </w:r>
    </w:p>
    <w:p>
      <w:pPr>
        <w:spacing w:before="0" w:after="0"/>
        <w:ind w:left="120"/>
        <w:jc w:val="center"/>
      </w:pPr>
      <w:r>
        <w:rPr>
          <w:rFonts w:ascii="Times New Roman" w:hAnsi="Times New Roman"/>
          <w:b w:val="false"/>
          <w:i w:val="false"/>
          <w:color w:val="000000"/>
          <w:sz w:val="20"/>
        </w:rPr>
        <w:t>[Prior to 8/26/87, Nursing Board[590] Ch 2]</w:t>
      </w:r>
    </w:p>
    <w:p>
      <w:pPr>
        <w:spacing w:before="0" w:after="0"/>
        <w:ind w:left="120"/>
        <w:jc w:val="center"/>
      </w:pPr>
      <w:r>
        <w:rPr>
          <w:rFonts w:ascii="Times New Roman" w:hAnsi="Times New Roman"/>
          <w:b w:val="false"/>
          <w:i w:val="false"/>
          <w:color w:val="000000"/>
          <w:sz w:val="20"/>
        </w:rPr>
        <w:t>[Prior to 6/11/25, see Nursing Board[655]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481—616.1</w:t>
      </w:r>
      <w:r>
        <w:rPr>
          <w:rFonts w:ascii="Times New Roman" w:hAnsi="Times New Roman"/>
          <w:b/>
          <w:i w:val="false"/>
          <w:color w:val="000000"/>
          <w:sz w:val="22"/>
        </w:rPr>
        <w:t xml:space="preserve">(152)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“Approval”</w:t>
      </w:r>
      <w:r>
        <w:rPr>
          <w:rFonts w:ascii="Times New Roman" w:hAnsi="Times New Roman"/>
          <w:b w:val="false"/>
          <w:i w:val="false"/>
          <w:color w:val="000000"/>
          <w:sz w:val="22"/>
        </w:rPr>
        <w:t> </w:t>
      </w:r>
      <w:r>
        <w:rPr>
          <w:rFonts w:ascii="Times New Roman" w:hAnsi="Times New Roman"/>
          <w:b w:val="false"/>
          <w:i w:val="false"/>
          <w:color w:val="000000"/>
          <w:sz w:val="22"/>
        </w:rPr>
        <w:t>means recognition status given to nursing education programs based on the programs’ compliance with the criteria specified in this chapter. Approval may be granted or continued for any time period determined by the board for up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facilities”</w:t>
      </w:r>
      <w:r>
        <w:rPr>
          <w:rFonts w:ascii="Times New Roman" w:hAnsi="Times New Roman"/>
          <w:b w:val="false"/>
          <w:i w:val="false"/>
          <w:color w:val="000000"/>
          <w:sz w:val="22"/>
        </w:rPr>
        <w:t> </w:t>
      </w:r>
      <w:r>
        <w:rPr>
          <w:rFonts w:ascii="Times New Roman" w:hAnsi="Times New Roman"/>
          <w:b w:val="false"/>
          <w:i w:val="false"/>
          <w:color w:val="000000"/>
          <w:sz w:val="22"/>
        </w:rPr>
        <w:t>means locations where students directly care for patients/clients under the supervision of a qualified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instruction”</w:t>
      </w:r>
      <w:r>
        <w:rPr>
          <w:rFonts w:ascii="Times New Roman" w:hAnsi="Times New Roman"/>
          <w:b w:val="false"/>
          <w:i w:val="false"/>
          <w:color w:val="000000"/>
          <w:sz w:val="22"/>
        </w:rPr>
        <w:t> </w:t>
      </w:r>
      <w:r>
        <w:rPr>
          <w:rFonts w:ascii="Times New Roman" w:hAnsi="Times New Roman"/>
          <w:b w:val="false"/>
          <w:i w:val="false"/>
          <w:color w:val="000000"/>
          <w:sz w:val="22"/>
        </w:rPr>
        <w:t>means hands-on learning situations in which students directly care for patients/clients within a relevant setting, under the supervision of a qualified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“Content”</w:t>
      </w:r>
      <w:r>
        <w:rPr>
          <w:rFonts w:ascii="Times New Roman" w:hAnsi="Times New Roman"/>
          <w:b w:val="false"/>
          <w:i w:val="false"/>
          <w:color w:val="000000"/>
          <w:sz w:val="22"/>
        </w:rPr>
        <w:t> </w:t>
      </w:r>
      <w:r>
        <w:rPr>
          <w:rFonts w:ascii="Times New Roman" w:hAnsi="Times New Roman"/>
          <w:b w:val="false"/>
          <w:i w:val="false"/>
          <w:color w:val="000000"/>
          <w:sz w:val="22"/>
        </w:rPr>
        <w:t>means the subject matter in a given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“Controlling institution”</w:t>
      </w:r>
      <w:r>
        <w:rPr>
          <w:rFonts w:ascii="Times New Roman" w:hAnsi="Times New Roman"/>
          <w:b w:val="false"/>
          <w:i w:val="false"/>
          <w:color w:val="000000"/>
          <w:sz w:val="22"/>
        </w:rPr>
        <w:t> </w:t>
      </w:r>
      <w:r>
        <w:rPr>
          <w:rFonts w:ascii="Times New Roman" w:hAnsi="Times New Roman"/>
          <w:b w:val="false"/>
          <w:i w:val="false"/>
          <w:color w:val="000000"/>
          <w:sz w:val="22"/>
        </w:rPr>
        <w:t>means the institution that has authority over and administrative accountability for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“Curriculum”</w:t>
      </w:r>
      <w:r>
        <w:rPr>
          <w:rFonts w:ascii="Times New Roman" w:hAnsi="Times New Roman"/>
          <w:b w:val="false"/>
          <w:i w:val="false"/>
          <w:color w:val="000000"/>
          <w:sz w:val="22"/>
        </w:rPr>
        <w:t> </w:t>
      </w:r>
      <w:r>
        <w:rPr>
          <w:rFonts w:ascii="Times New Roman" w:hAnsi="Times New Roman"/>
          <w:b w:val="false"/>
          <w:i w:val="false"/>
          <w:color w:val="000000"/>
          <w:sz w:val="22"/>
        </w:rPr>
        <w:t>means content, lab/simulation, observation and clinical experiences developed, implemented and evaluated by faculty to facilitate achievement of program outcomes and to meet the learning needs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“Debriefing”</w:t>
      </w:r>
      <w:r>
        <w:rPr>
          <w:rFonts w:ascii="Times New Roman" w:hAnsi="Times New Roman"/>
          <w:b w:val="false"/>
          <w:i w:val="false"/>
          <w:color w:val="000000"/>
          <w:sz w:val="22"/>
        </w:rPr>
        <w:t> </w:t>
      </w:r>
      <w:r>
        <w:rPr>
          <w:rFonts w:ascii="Times New Roman" w:hAnsi="Times New Roman"/>
          <w:b w:val="false"/>
          <w:i w:val="false"/>
          <w:color w:val="000000"/>
          <w:sz w:val="22"/>
        </w:rPr>
        <w:t>means an activity that follows a simulation experience and that is led by a faculty member, encourages a participant’s reflective thinking, and provides feedback regarding the participant’s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“Faculty”</w:t>
      </w:r>
      <w:r>
        <w:rPr>
          <w:rFonts w:ascii="Times New Roman" w:hAnsi="Times New Roman"/>
          <w:b w:val="false"/>
          <w:i w:val="false"/>
          <w:color w:val="000000"/>
          <w:sz w:val="22"/>
        </w:rPr>
        <w:t> </w:t>
      </w:r>
      <w:r>
        <w:rPr>
          <w:rFonts w:ascii="Times New Roman" w:hAnsi="Times New Roman"/>
          <w:b w:val="false"/>
          <w:i w:val="false"/>
          <w:color w:val="000000"/>
          <w:sz w:val="22"/>
        </w:rPr>
        <w:t>means the teaching staff in a nursing education program. This definition includes anyone who provides didactic, simulation, laboratory, or clinical instruction in nursing when assigned by the program to provide this instruction for courses included in the nursing curriculum. The definition applies regardless of the amount of time spent teaching, the level of payment, the type of contract, the temporary nature of the position, or the location of the learner.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“Head of program”</w:t>
      </w:r>
      <w:r>
        <w:rPr>
          <w:rFonts w:ascii="Times New Roman" w:hAnsi="Times New Roman"/>
          <w:b w:val="false"/>
          <w:i w:val="false"/>
          <w:color w:val="000000"/>
          <w:sz w:val="22"/>
        </w:rPr>
        <w:t> </w:t>
      </w:r>
      <w:r>
        <w:rPr>
          <w:rFonts w:ascii="Times New Roman" w:hAnsi="Times New Roman"/>
          <w:b w:val="false"/>
          <w:i w:val="false"/>
          <w:color w:val="000000"/>
          <w:sz w:val="22"/>
        </w:rPr>
        <w:t>means the dean, chairperson, director, or coordinator of the nursing education program(s) who is responsible for the administration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“Improvement status”</w:t>
      </w:r>
      <w:r>
        <w:rPr>
          <w:rFonts w:ascii="Times New Roman" w:hAnsi="Times New Roman"/>
          <w:b w:val="false"/>
          <w:i w:val="false"/>
          <w:color w:val="000000"/>
          <w:sz w:val="22"/>
        </w:rPr>
        <w:t> </w:t>
      </w:r>
      <w:r>
        <w:rPr>
          <w:rFonts w:ascii="Times New Roman" w:hAnsi="Times New Roman"/>
          <w:b w:val="false"/>
          <w:i w:val="false"/>
          <w:color w:val="000000"/>
          <w:sz w:val="22"/>
        </w:rPr>
        <w:t>means the status on which a program is placed after three consecutive years of NCLEX® results below 95 percent of the national NCLEX® passing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“Interim approval”</w:t>
      </w:r>
      <w:r>
        <w:rPr>
          <w:rFonts w:ascii="Times New Roman" w:hAnsi="Times New Roman"/>
          <w:b w:val="false"/>
          <w:i w:val="false"/>
          <w:color w:val="000000"/>
          <w:sz w:val="22"/>
        </w:rPr>
        <w:t> </w:t>
      </w:r>
      <w:r>
        <w:rPr>
          <w:rFonts w:ascii="Times New Roman" w:hAnsi="Times New Roman"/>
          <w:b w:val="false"/>
          <w:i w:val="false"/>
          <w:color w:val="000000"/>
          <w:sz w:val="22"/>
        </w:rPr>
        <w:t>means approval granted to a new nursing program, at which time students may be admitted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“Lab/simulation”</w:t>
      </w:r>
      <w:r>
        <w:rPr>
          <w:rFonts w:ascii="Times New Roman" w:hAnsi="Times New Roman"/>
          <w:b w:val="false"/>
          <w:i w:val="false"/>
          <w:color w:val="000000"/>
          <w:sz w:val="22"/>
        </w:rPr>
        <w:t> </w:t>
      </w:r>
      <w:r>
        <w:rPr>
          <w:rFonts w:ascii="Times New Roman" w:hAnsi="Times New Roman"/>
          <w:b w:val="false"/>
          <w:i w:val="false"/>
          <w:color w:val="000000"/>
          <w:sz w:val="22"/>
        </w:rPr>
        <w:t>means activities that mimic the reality of a clinical environment and that are designed to demonstrate procedures, decision-making and critical thinking through interactive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“Learning experiences”</w:t>
      </w:r>
      <w:r>
        <w:rPr>
          <w:rFonts w:ascii="Times New Roman" w:hAnsi="Times New Roman"/>
          <w:b w:val="false"/>
          <w:i w:val="false"/>
          <w:color w:val="000000"/>
          <w:sz w:val="22"/>
        </w:rPr>
        <w:t> </w:t>
      </w:r>
      <w:r>
        <w:rPr>
          <w:rFonts w:ascii="Times New Roman" w:hAnsi="Times New Roman"/>
          <w:b w:val="false"/>
          <w:i w:val="false"/>
          <w:color w:val="000000"/>
          <w:sz w:val="22"/>
        </w:rPr>
        <w:t>means experiences that shall include content and clinical instruction and that may include components of lab/simulation, practicum, and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“Located in Iowa”</w:t>
      </w:r>
      <w:r>
        <w:rPr>
          <w:rFonts w:ascii="Times New Roman" w:hAnsi="Times New Roman"/>
          <w:b w:val="false"/>
          <w:i w:val="false"/>
          <w:color w:val="000000"/>
          <w:sz w:val="22"/>
        </w:rPr>
        <w:t> </w:t>
      </w:r>
      <w:r>
        <w:rPr>
          <w:rFonts w:ascii="Times New Roman" w:hAnsi="Times New Roman"/>
          <w:b w:val="false"/>
          <w:i w:val="false"/>
          <w:color w:val="000000"/>
          <w:sz w:val="22"/>
        </w:rPr>
        <w:t>means a college or university that is accredited by the Higher Learning Commission, that has made a substantial investment in a permanent Iowa campus and staff, and that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NCLEX® passing percentage”</w:t>
      </w:r>
      <w:r>
        <w:rPr>
          <w:rFonts w:ascii="Times New Roman" w:hAnsi="Times New Roman"/>
          <w:b w:val="false"/>
          <w:i w:val="false"/>
          <w:color w:val="000000"/>
          <w:sz w:val="22"/>
        </w:rPr>
        <w:t> </w:t>
      </w:r>
      <w:r>
        <w:rPr>
          <w:rFonts w:ascii="Times New Roman" w:hAnsi="Times New Roman"/>
          <w:b w:val="false"/>
          <w:i w:val="false"/>
          <w:color w:val="000000"/>
          <w:sz w:val="22"/>
        </w:rPr>
        <w:t>means the percentage of first-time testers who achieve a passing score on the NCLEX® examination for licensed practical nurse or registered nurse licensure, calculated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“NCLEX®”</w:t>
      </w:r>
      <w:r>
        <w:rPr>
          <w:rFonts w:ascii="Times New Roman" w:hAnsi="Times New Roman"/>
          <w:b w:val="false"/>
          <w:i w:val="false"/>
          <w:color w:val="000000"/>
          <w:sz w:val="22"/>
        </w:rPr>
        <w:t> </w:t>
      </w:r>
      <w:r>
        <w:rPr>
          <w:rFonts w:ascii="Times New Roman" w:hAnsi="Times New Roman"/>
          <w:b w:val="false"/>
          <w:i w:val="false"/>
          <w:color w:val="000000"/>
          <w:sz w:val="22"/>
        </w:rPr>
        <w:t>means the National Council Licensure Examination, the examination currently used for initial licensure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“NCLEX® passing percentage”</w:t>
      </w:r>
      <w:r>
        <w:rPr>
          <w:rFonts w:ascii="Times New Roman" w:hAnsi="Times New Roman"/>
          <w:b w:val="false"/>
          <w:i w:val="false"/>
          <w:color w:val="000000"/>
          <w:sz w:val="22"/>
        </w:rPr>
        <w:t> </w:t>
      </w:r>
      <w:r>
        <w:rPr>
          <w:rFonts w:ascii="Times New Roman" w:hAnsi="Times New Roman"/>
          <w:b w:val="false"/>
          <w:i w:val="false"/>
          <w:color w:val="000000"/>
          <w:sz w:val="22"/>
        </w:rPr>
        <w:t>means the percentage of first-time testers who achieve a passing score on the NCLEX® examination for licensed practical nurse or registered nurse licensure within six months of graduation from a nursing program, calculated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“Observation”</w:t>
      </w:r>
      <w:r>
        <w:rPr>
          <w:rFonts w:ascii="Times New Roman" w:hAnsi="Times New Roman"/>
          <w:b w:val="false"/>
          <w:i w:val="false"/>
          <w:color w:val="000000"/>
          <w:sz w:val="22"/>
        </w:rPr>
        <w:t> </w:t>
      </w:r>
      <w:r>
        <w:rPr>
          <w:rFonts w:ascii="Times New Roman" w:hAnsi="Times New Roman"/>
          <w:b w:val="false"/>
          <w:i w:val="false"/>
          <w:color w:val="000000"/>
          <w:sz w:val="22"/>
        </w:rPr>
        <w:t>means learning experiences in a relevant setting that meet program outcomes but do not require on-site faculty supervision and where the student does not directly care for patients/clients.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“Out-of-state program”</w:t>
      </w:r>
      <w:r>
        <w:rPr>
          <w:rFonts w:ascii="Times New Roman" w:hAnsi="Times New Roman"/>
          <w:b w:val="false"/>
          <w:i w:val="false"/>
          <w:color w:val="000000"/>
          <w:sz w:val="22"/>
        </w:rPr>
        <w:t> </w:t>
      </w:r>
      <w:r>
        <w:rPr>
          <w:rFonts w:ascii="Times New Roman" w:hAnsi="Times New Roman"/>
          <w:b w:val="false"/>
          <w:i w:val="false"/>
          <w:color w:val="000000"/>
          <w:sz w:val="22"/>
        </w:rPr>
        <w:t>means an approved nursing program within United States jurisdiction that provides clinical experiences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“Practicum”</w:t>
      </w:r>
      <w:r>
        <w:rPr>
          <w:rFonts w:ascii="Times New Roman" w:hAnsi="Times New Roman"/>
          <w:b w:val="false"/>
          <w:i w:val="false"/>
          <w:color w:val="000000"/>
          <w:sz w:val="22"/>
        </w:rPr>
        <w:t> </w:t>
      </w:r>
      <w:r>
        <w:rPr>
          <w:rFonts w:ascii="Times New Roman" w:hAnsi="Times New Roman"/>
          <w:b w:val="false"/>
          <w:i w:val="false"/>
          <w:color w:val="000000"/>
          <w:sz w:val="22"/>
        </w:rPr>
        <w:t>means a course of study designed especially for the preparation of nurses that involves the supervised practical application of previously studied theory.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w:t>
      </w:r>
      <w:r>
        <w:rPr>
          <w:rFonts w:ascii="Times New Roman" w:hAnsi="Times New Roman"/>
          <w:b w:val="false"/>
          <w:i w:val="false"/>
          <w:color w:val="000000"/>
          <w:sz w:val="22"/>
        </w:rPr>
        <w:t> </w:t>
      </w:r>
      <w:r>
        <w:rPr>
          <w:rFonts w:ascii="Times New Roman" w:hAnsi="Times New Roman"/>
          <w:b w:val="false"/>
          <w:i w:val="false"/>
          <w:color w:val="000000"/>
          <w:sz w:val="22"/>
        </w:rPr>
        <w:t>means a licensed individual who meets Iowa board of nursing qualifications as specified in this chapter, is on staff at the facility where the experience occurs, is selected by the nursing program in collaboration with the clinical facility, and is responsible for the on-site direction of the student over a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“Preceptorship”</w:t>
      </w:r>
      <w:r>
        <w:rPr>
          <w:rFonts w:ascii="Times New Roman" w:hAnsi="Times New Roman"/>
          <w:b w:val="false"/>
          <w:i w:val="false"/>
          <w:color w:val="000000"/>
          <w:sz w:val="22"/>
        </w:rPr>
        <w:t> </w:t>
      </w:r>
      <w:r>
        <w:rPr>
          <w:rFonts w:ascii="Times New Roman" w:hAnsi="Times New Roman"/>
          <w:b w:val="false"/>
          <w:i w:val="false"/>
          <w:color w:val="000000"/>
          <w:sz w:val="22"/>
        </w:rPr>
        <w:t>means an experience between a preceptor and a nursing student over a period of time that is congruent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course of study by any method of instruction or delivery that leads to a nursing diploma, degree or certificate. Multiple-site programs offered by one controlling institution shall be considered one program if the philosophy and curriculum of all the sites are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nursing faculty”</w:t>
      </w:r>
      <w:r>
        <w:rPr>
          <w:rFonts w:ascii="Times New Roman" w:hAnsi="Times New Roman"/>
          <w:b w:val="false"/>
          <w:i w:val="false"/>
          <w:color w:val="000000"/>
          <w:sz w:val="22"/>
        </w:rPr>
        <w:t> </w:t>
      </w:r>
      <w:r>
        <w:rPr>
          <w:rFonts w:ascii="Times New Roman" w:hAnsi="Times New Roman"/>
          <w:b w:val="false"/>
          <w:i w:val="false"/>
          <w:color w:val="000000"/>
          <w:sz w:val="22"/>
        </w:rPr>
        <w:t>means individuals who meet board faculty qualifications as specified in this chapter and the qualifications of the parent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481—616.2</w:t>
      </w:r>
      <w:r>
        <w:rPr>
          <w:rFonts w:ascii="Times New Roman" w:hAnsi="Times New Roman"/>
          <w:b/>
          <w:i w:val="false"/>
          <w:color w:val="000000"/>
          <w:sz w:val="22"/>
        </w:rPr>
        <w:t xml:space="preserve">(152) </w:t>
      </w:r>
      <w:r>
        <w:rPr>
          <w:rFonts w:ascii="Times New Roman" w:hAnsi="Times New Roman"/>
          <w:b/>
          <w:i w:val="false"/>
          <w:color w:val="000000"/>
          <w:sz w:val="22"/>
        </w:rPr>
        <w:t xml:space="preserve">Programs eligible for board approval. </w:t>
      </w:r>
      <w:r>
        <w:rPr>
          <w:rFonts w:ascii="Times New Roman" w:hAnsi="Times New Roman"/>
          <w:b w:val="false"/>
          <w:i w:val="false"/>
          <w:color w:val="000000"/>
          <w:sz w:val="22"/>
        </w:rPr>
        <w:t>Programs eligible for board approval shall include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a one-academic-year course of study or its equivalent in theory and practice that leads to a diploma in practical nursing and to eligibility to apply for practical nurse licensure by examination as described in </w:t>
      </w:r>
      <w:hyperlink r:id="rId5">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At least a two-academic-year course of study or its equivalent in theory and practice that leads to a degree in nursing and to eligibility to apply for registered nurse licensure by examination as described in </w:t>
      </w:r>
      <w:hyperlink r:id="rId6">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course of study for registered nurses that leads to a baccalaureate degree with a major in nursing.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course of study for registered nurses that leads to a master’s degree with a major in nursing.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course of study for registered nurses who hold a master’s degree in nursing that leads to a certificate in advanced practice nursing and eligibility for licensure as an advanced registered nurse practitioner as described in </w:t>
      </w:r>
      <w:hyperlink r:id="rId7">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post-master’s course of study that leads to a doctoral degree with a major in nursing.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course of study that leads to a doctorate in nursing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481—616.3</w:t>
      </w:r>
      <w:r>
        <w:rPr>
          <w:rFonts w:ascii="Times New Roman" w:hAnsi="Times New Roman"/>
          <w:b/>
          <w:i w:val="false"/>
          <w:color w:val="000000"/>
          <w:sz w:val="22"/>
        </w:rPr>
        <w:t xml:space="preserve">(152) </w:t>
      </w:r>
      <w:r>
        <w:rPr>
          <w:rFonts w:ascii="Times New Roman" w:hAnsi="Times New Roman"/>
          <w:b/>
          <w:i w:val="false"/>
          <w:color w:val="000000"/>
          <w:sz w:val="22"/>
        </w:rPr>
        <w:t xml:space="preserve">Application for interim approval of a nursing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616.3(1)</w:t>
      </w:r>
      <w:r>
        <w:rPr>
          <w:rFonts w:ascii="Times New Roman" w:hAnsi="Times New Roman"/>
          <w:b w:val="false"/>
          <w:i w:val="false"/>
          <w:color w:val="000000"/>
          <w:sz w:val="22"/>
        </w:rPr>
        <w:t> </w:t>
      </w:r>
      <w:r>
        <w:rPr>
          <w:rFonts w:ascii="Times New Roman" w:hAnsi="Times New Roman"/>
          <w:b w:val="false"/>
          <w:i w:val="false"/>
          <w:color w:val="000000"/>
          <w:sz w:val="22"/>
        </w:rPr>
        <w:t>Before establishing a nursing program, a controlling institution shall submit a program application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statement explaining how the college or university meets the definition of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Accreditation status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statement of intent to establish a nursing program, including the academic and licensure levels of the program and the primary method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establishment of an advisory committee composed of representatives of the community and nurses. Minutes of advisory committee meetings shall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of a needs assessment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the present and future need for the program in the state, including the need for entry-level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effect on existing nursing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qualified head of the program and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Source and description of clinical resources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of potential students and anticipated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adequate academic facilities and staff to support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resources adequate for the planning, implementation and continuation of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Tentative time schedule for planning and implementing the nursing program and the intended date for entry of the first class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616.3(2)</w:t>
      </w:r>
      <w:r>
        <w:rPr>
          <w:rFonts w:ascii="Times New Roman" w:hAnsi="Times New Roman"/>
          <w:b w:val="false"/>
          <w:i w:val="false"/>
          <w:color w:val="000000"/>
          <w:sz w:val="22"/>
        </w:rPr>
        <w:t> </w:t>
      </w:r>
      <w:r>
        <w:rPr>
          <w:rFonts w:ascii="Times New Roman" w:hAnsi="Times New Roman"/>
          <w:b w:val="false"/>
          <w:i w:val="false"/>
          <w:color w:val="000000"/>
          <w:sz w:val="22"/>
        </w:rPr>
        <w:t>The proposed program shall submit the following prior to enrolling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employment of the head of the program, including the individual’s qualifications, at least six months prior to the beginning of the first nursing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philosophy, objectives and outcomes that reflect the proposed level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Organizational chart of the educational institution documenting the relationship of the nursing program within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plan that meets the criteria in rule </w:t>
      </w:r>
      <w:hyperlink r:id="rId8">
        <w:r>
          <w:rPr>
            <w:rStyle w:val="Hyperlink"/>
            <w:rFonts w:ascii="Times New Roman" w:hAnsi="Times New Roman"/>
            <w:b w:val="false"/>
            <w:i w:val="false"/>
            <w:color w:val="000000"/>
            <w:sz w:val="22"/>
          </w:rPr>
          <w:t>481—616.10</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 of intent from clinical facilities securing clinical opportunities and documentation of the facility type, size, number of beds, and type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faculty employed by the controlling institution prior to the beginning of teaching assignments. Faculty members who teach nursing shall meet the qualifications outlined in subrule </w:t>
      </w:r>
      <w:hyperlink r:id="rId9">
        <w:r>
          <w:rPr>
            <w:rStyle w:val="Hyperlink"/>
            <w:rFonts w:ascii="Times New Roman" w:hAnsi="Times New Roman"/>
            <w:b w:val="false"/>
            <w:i w:val="false"/>
            <w:color w:val="000000"/>
            <w:sz w:val="22"/>
          </w:rPr>
          <w:t>616.11(2)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five-year budget for the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616.3(3)</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the controlling institution and clinical facilities to validate information submitted in the program proposal prior to determining interim approval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616.3(4)</w:t>
      </w:r>
      <w:r>
        <w:rPr>
          <w:rFonts w:ascii="Times New Roman" w:hAnsi="Times New Roman"/>
          <w:b w:val="false"/>
          <w:i w:val="false"/>
          <w:color w:val="000000"/>
          <w:sz w:val="22"/>
        </w:rPr>
        <w:t> </w:t>
      </w:r>
      <w:r>
        <w:rPr>
          <w:rFonts w:ascii="Times New Roman" w:hAnsi="Times New Roman"/>
          <w:b w:val="false"/>
          <w:i w:val="false"/>
          <w:color w:val="000000"/>
          <w:sz w:val="22"/>
        </w:rPr>
        <w:t>Interim approval may be granted to the program based on the program proposal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shall publish the interim approval status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submit an annual report by June 30th of each year until full approval as described in rule </w:t>
      </w:r>
      <w:hyperlink r:id="rId10">
        <w:r>
          <w:rPr>
            <w:rStyle w:val="Hyperlink"/>
            <w:rFonts w:ascii="Times New Roman" w:hAnsi="Times New Roman"/>
            <w:b w:val="false"/>
            <w:i w:val="false"/>
            <w:color w:val="000000"/>
            <w:sz w:val="22"/>
          </w:rPr>
          <w:t>481—616.4</w:t>
        </w:r>
      </w:hyperlink>
      <w:r>
        <w:rPr>
          <w:rFonts w:ascii="Times New Roman" w:hAnsi="Times New Roman"/>
          <w:b w:val="false"/>
          <w:i w:val="false"/>
          <w:color w:val="000000"/>
          <w:sz w:val="22"/>
        </w:rPr>
        <w:t>(152) is granted by the board.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Updated information in all areas identified in the initial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number of admissions and 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number of qualified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course offerings, including descriptions, credit hours, outcomes/objectives, placement of course and curriculum submitted six months prior to the offering of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requiring board notification and approval as outlined in subrule </w:t>
      </w:r>
      <w:hyperlink r:id="rId11">
        <w:r>
          <w:rPr>
            <w:rStyle w:val="Hyperlink"/>
            <w:rFonts w:ascii="Times New Roman" w:hAnsi="Times New Roman"/>
            <w:b w:val="false"/>
            <w:i w:val="false"/>
            <w:color w:val="000000"/>
            <w:sz w:val="22"/>
          </w:rPr>
          <w:t>616.17(3)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approval continues until the board conducts a review of program materials, completes a site visit, and grants approval to the program following graduation of the first class and submission of results of the national examination for licensure or advanced practice certification,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seek additional program information from the controlling institution and head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616.3(5)</w:t>
      </w:r>
      <w:r>
        <w:rPr>
          <w:rFonts w:ascii="Times New Roman" w:hAnsi="Times New Roman"/>
          <w:b w:val="false"/>
          <w:i w:val="false"/>
          <w:color w:val="000000"/>
          <w:sz w:val="22"/>
        </w:rPr>
        <w:t> </w:t>
      </w:r>
      <w:r>
        <w:rPr>
          <w:rFonts w:ascii="Times New Roman" w:hAnsi="Times New Roman"/>
          <w:b w:val="false"/>
          <w:i w:val="false"/>
          <w:color w:val="000000"/>
          <w:sz w:val="22"/>
        </w:rPr>
        <w:t>The board may deny interim approval based on the program proposal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reconsidered, the controlling institution shall resubmit a program proposal within six months from the time of program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year from the initial application, the controlling institution may resubmit a program application to the board in order to be reconsidered.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481—616.4</w:t>
      </w:r>
      <w:r>
        <w:rPr>
          <w:rFonts w:ascii="Times New Roman" w:hAnsi="Times New Roman"/>
          <w:b/>
          <w:i w:val="false"/>
          <w:color w:val="000000"/>
          <w:sz w:val="22"/>
        </w:rPr>
        <w:t xml:space="preserve">(152) </w:t>
      </w:r>
      <w:r>
        <w:rPr>
          <w:rFonts w:ascii="Times New Roman" w:hAnsi="Times New Roman"/>
          <w:b/>
          <w:i w:val="false"/>
          <w:color w:val="000000"/>
          <w:sz w:val="22"/>
        </w:rPr>
        <w:t xml:space="preserve">Approval and reapproval of in-state nursing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616.4(1)</w:t>
      </w:r>
      <w:r>
        <w:rPr>
          <w:rFonts w:ascii="Times New Roman" w:hAnsi="Times New Roman"/>
          <w:b w:val="false"/>
          <w:i w:val="false"/>
          <w:color w:val="000000"/>
          <w:sz w:val="22"/>
        </w:rPr>
        <w:t> </w:t>
      </w:r>
      <w:r>
        <w:rPr>
          <w:rFonts w:ascii="Times New Roman" w:hAnsi="Times New Roman"/>
          <w:b w:val="false"/>
          <w:i w:val="false"/>
          <w:color w:val="000000"/>
          <w:sz w:val="22"/>
        </w:rPr>
        <w:t>The full approval for nursing programs located in Iowa requires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 board survey visit by board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Submission of the program’s systematic evaluation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of qualified faculty and 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compliance of nursing program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616.4(2)</w:t>
      </w:r>
      <w:r>
        <w:rPr>
          <w:rFonts w:ascii="Times New Roman" w:hAnsi="Times New Roman"/>
          <w:b w:val="false"/>
          <w:i w:val="false"/>
          <w:color w:val="000000"/>
          <w:sz w:val="22"/>
        </w:rPr>
        <w:t> </w:t>
      </w:r>
      <w:r>
        <w:rPr>
          <w:rFonts w:ascii="Times New Roman" w:hAnsi="Times New Roman"/>
          <w:b w:val="false"/>
          <w:i w:val="false"/>
          <w:color w:val="000000"/>
          <w:sz w:val="22"/>
        </w:rPr>
        <w:t>The board provides the program with the schedule and the criteria for approval 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provides to the board the nursing education program report and supporting documentation addressing all aspects of the program outlined in rules </w:t>
      </w:r>
      <w:hyperlink r:id="rId12">
        <w:r>
          <w:rPr>
            <w:rStyle w:val="Hyperlink"/>
            <w:rFonts w:ascii="Times New Roman" w:hAnsi="Times New Roman"/>
            <w:b w:val="false"/>
            <w:i w:val="false"/>
            <w:color w:val="000000"/>
            <w:sz w:val="22"/>
          </w:rPr>
          <w:t>481—616.8</w:t>
        </w:r>
      </w:hyperlink>
      <w:r>
        <w:rPr>
          <w:rFonts w:ascii="Times New Roman" w:hAnsi="Times New Roman"/>
          <w:b w:val="false"/>
          <w:i w:val="false"/>
          <w:color w:val="000000"/>
          <w:sz w:val="22"/>
        </w:rPr>
        <w:t xml:space="preserve">(152) through </w:t>
      </w:r>
      <w:hyperlink r:id="rId13">
        <w:r>
          <w:rPr>
            <w:rStyle w:val="Hyperlink"/>
            <w:rFonts w:ascii="Times New Roman" w:hAnsi="Times New Roman"/>
            <w:b w:val="false"/>
            <w:i w:val="false"/>
            <w:color w:val="000000"/>
            <w:sz w:val="22"/>
          </w:rPr>
          <w:t>481—616.18</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616.4(4)</w:t>
      </w:r>
      <w:r>
        <w:rPr>
          <w:rFonts w:ascii="Times New Roman" w:hAnsi="Times New Roman"/>
          <w:b w:val="false"/>
          <w:i w:val="false"/>
          <w:color w:val="000000"/>
          <w:sz w:val="22"/>
        </w:rPr>
        <w:t> </w:t>
      </w:r>
      <w:r>
        <w:rPr>
          <w:rFonts w:ascii="Times New Roman" w:hAnsi="Times New Roman"/>
          <w:b w:val="false"/>
          <w:i w:val="false"/>
          <w:color w:val="000000"/>
          <w:sz w:val="22"/>
        </w:rPr>
        <w:t>A focused site visit may happen due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from students, faculty and clinical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Frequent turnover of faculty and the head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Decreasing trends in outcomes including NCLEX® pass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that the program does not meet the criteria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616.4(5)</w:t>
      </w:r>
      <w:r>
        <w:rPr>
          <w:rFonts w:ascii="Times New Roman" w:hAnsi="Times New Roman"/>
          <w:b w:val="false"/>
          <w:i w:val="false"/>
          <w:color w:val="000000"/>
          <w:sz w:val="22"/>
        </w:rPr>
        <w:t> </w:t>
      </w:r>
      <w:r>
        <w:rPr>
          <w:rFonts w:ascii="Times New Roman" w:hAnsi="Times New Roman"/>
          <w:b w:val="false"/>
          <w:i w:val="false"/>
          <w:color w:val="000000"/>
          <w:sz w:val="22"/>
        </w:rPr>
        <w:t>The board will provide a report addressing recommendations from the site visit and nursing education program report to the head of the program. The head of the program will have an opportunity to respond in writing to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616.4(6)</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report and the program response is submitted to the board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616.4(7)</w:t>
      </w:r>
      <w:r>
        <w:rPr>
          <w:rFonts w:ascii="Times New Roman" w:hAnsi="Times New Roman"/>
          <w:b w:val="false"/>
          <w:i w:val="false"/>
          <w:color w:val="000000"/>
          <w:sz w:val="22"/>
        </w:rPr>
        <w:t> </w:t>
      </w:r>
      <w:r>
        <w:rPr>
          <w:rFonts w:ascii="Times New Roman" w:hAnsi="Times New Roman"/>
          <w:b w:val="false"/>
          <w:i w:val="false"/>
          <w:color w:val="000000"/>
          <w:sz w:val="22"/>
        </w:rPr>
        <w:t>The board  determines the approval status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approval may be granted or continued, within any time frame determined by the board, up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granted as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481—616.5</w:t>
      </w:r>
      <w:r>
        <w:rPr>
          <w:rFonts w:ascii="Times New Roman" w:hAnsi="Times New Roman"/>
          <w:b/>
          <w:i w:val="false"/>
          <w:color w:val="000000"/>
          <w:sz w:val="22"/>
        </w:rPr>
        <w:t xml:space="preserve">(152) </w:t>
      </w:r>
      <w:r>
        <w:rPr>
          <w:rFonts w:ascii="Times New Roman" w:hAnsi="Times New Roman"/>
          <w:b/>
          <w:i w:val="false"/>
          <w:color w:val="000000"/>
          <w:sz w:val="22"/>
        </w:rPr>
        <w:t xml:space="preserve">Conditional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616.5(1)</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granted if the board determines that the program does not meet the criteria for approval at any time during the progression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616.5(2)</w:t>
      </w:r>
      <w:r>
        <w:rPr>
          <w:rFonts w:ascii="Times New Roman" w:hAnsi="Times New Roman"/>
          <w:b w:val="false"/>
          <w:i w:val="false"/>
          <w:color w:val="000000"/>
          <w:sz w:val="22"/>
        </w:rPr>
        <w:t> </w:t>
      </w:r>
      <w:r>
        <w:rPr>
          <w:rFonts w:ascii="Times New Roman" w:hAnsi="Times New Roman"/>
          <w:b w:val="false"/>
          <w:i w:val="false"/>
          <w:color w:val="000000"/>
          <w:sz w:val="22"/>
        </w:rPr>
        <w:t>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notify the president of the academic institution and head of the nursing program, in writing, of the program’s conditional approval status.  The nursing program will be given a reasonable period of time to submit an action plan to correct the identified program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request progress reports and conduct a site visit at any time during the conditional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616.5(3)</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all students and prospective students of the program’s conditional approval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616.5(4)</w:t>
      </w:r>
      <w:r>
        <w:rPr>
          <w:rFonts w:ascii="Times New Roman" w:hAnsi="Times New Roman"/>
          <w:b w:val="false"/>
          <w:i w:val="false"/>
          <w:color w:val="000000"/>
          <w:sz w:val="22"/>
        </w:rPr>
        <w:t> </w:t>
      </w:r>
      <w:r>
        <w:rPr>
          <w:rFonts w:ascii="Times New Roman" w:hAnsi="Times New Roman"/>
          <w:b w:val="false"/>
          <w:i w:val="false"/>
          <w:color w:val="000000"/>
          <w:sz w:val="22"/>
        </w:rPr>
        <w:t>Prior to the expiration of a program’s conditional approval, representatives of the program and controlling institution shall submit a systemic evaluation plan detailing how outcomes are met. The board determines whether to grant the program full approval, extend conditional approval, or initiate proceedings to deny or withdraw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481—616.6</w:t>
      </w:r>
      <w:r>
        <w:rPr>
          <w:rFonts w:ascii="Times New Roman" w:hAnsi="Times New Roman"/>
          <w:b/>
          <w:i w:val="false"/>
          <w:color w:val="000000"/>
          <w:sz w:val="22"/>
        </w:rPr>
        <w:t xml:space="preserve">(152) </w:t>
      </w:r>
      <w:r>
        <w:rPr>
          <w:rFonts w:ascii="Times New Roman" w:hAnsi="Times New Roman"/>
          <w:b/>
          <w:i w:val="false"/>
          <w:color w:val="000000"/>
          <w:sz w:val="22"/>
        </w:rPr>
        <w:t xml:space="preserve">Denial or withdrawal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denied approval or given less than full approval may appeal that decision.  An appeal initiates a contested case hearing governed by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616.6(2)</w:t>
      </w:r>
      <w:r>
        <w:rPr>
          <w:rFonts w:ascii="Times New Roman" w:hAnsi="Times New Roman"/>
          <w:b w:val="false"/>
          <w:i w:val="false"/>
          <w:color w:val="000000"/>
          <w:sz w:val="22"/>
        </w:rPr>
        <w:t> </w:t>
      </w:r>
      <w:r>
        <w:rPr>
          <w:rFonts w:ascii="Times New Roman" w:hAnsi="Times New Roman"/>
          <w:b w:val="false"/>
          <w:i w:val="false"/>
          <w:color w:val="000000"/>
          <w:sz w:val="22"/>
        </w:rPr>
        <w:t>If, after a contested case proceeding, the board denies or withdraws approval of a program, the program shall immediately notify all enrolled students of the denial or withdrawal of approval. Such notification must include the date of denial or withdrawal of approval and a statement that students must graduate from an approved program to be eligible for licensure. The program shall assist all enrolled students with transferring to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481—616.7</w:t>
      </w:r>
      <w:r>
        <w:rPr>
          <w:rFonts w:ascii="Times New Roman" w:hAnsi="Times New Roman"/>
          <w:b/>
          <w:i w:val="false"/>
          <w:color w:val="000000"/>
          <w:sz w:val="22"/>
        </w:rPr>
        <w:t xml:space="preserve">(152) </w:t>
      </w:r>
      <w:r>
        <w:rPr>
          <w:rFonts w:ascii="Times New Roman" w:hAnsi="Times New Roman"/>
          <w:b/>
          <w:i w:val="false"/>
          <w:color w:val="000000"/>
          <w:sz w:val="22"/>
        </w:rPr>
        <w:t xml:space="preserve">Closure of an approved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616.7(1)</w:t>
      </w:r>
      <w:r>
        <w:rPr>
          <w:rFonts w:ascii="Times New Roman" w:hAnsi="Times New Roman"/>
          <w:b w:val="false"/>
          <w:i w:val="false"/>
          <w:color w:val="000000"/>
          <w:sz w:val="22"/>
        </w:rPr>
        <w:t> </w:t>
      </w:r>
      <w:r>
        <w:rPr>
          <w:rFonts w:ascii="Times New Roman" w:hAnsi="Times New Roman"/>
          <w:b w:val="false"/>
          <w:i w:val="false"/>
          <w:color w:val="000000"/>
          <w:sz w:val="22"/>
        </w:rPr>
        <w:t>Prior to program closure, the controlling institution shall submit a written plan to the board.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Reasons for closure and the date of closure, including when the last student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Provisions to continually meet the criteria for board approval and maintenance of nursing education standards during the transition to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Arrangements for enrolled students to complete a board-approved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616.7(2)</w:t>
      </w:r>
      <w:r>
        <w:rPr>
          <w:rFonts w:ascii="Times New Roman" w:hAnsi="Times New Roman"/>
          <w:b w:val="false"/>
          <w:i w:val="false"/>
          <w:color w:val="000000"/>
          <w:sz w:val="22"/>
        </w:rPr>
        <w:t> </w:t>
      </w:r>
      <w:r>
        <w:rPr>
          <w:rFonts w:ascii="Times New Roman" w:hAnsi="Times New Roman"/>
          <w:b w:val="false"/>
          <w:i w:val="false"/>
          <w:color w:val="000000"/>
          <w:sz w:val="22"/>
        </w:rPr>
        <w:t>Prior to closure, the controlling institution shall notify the board regarding the location and maintenance of student and graduate transcripts and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481—616.8</w:t>
      </w:r>
      <w:r>
        <w:rPr>
          <w:rFonts w:ascii="Times New Roman" w:hAnsi="Times New Roman"/>
          <w:b/>
          <w:i w:val="false"/>
          <w:color w:val="000000"/>
          <w:sz w:val="22"/>
        </w:rPr>
        <w:t xml:space="preserve">(152) </w:t>
      </w:r>
      <w:r>
        <w:rPr>
          <w:rFonts w:ascii="Times New Roman" w:hAnsi="Times New Roman"/>
          <w:b/>
          <w:i w:val="false"/>
          <w:color w:val="000000"/>
          <w:sz w:val="22"/>
        </w:rPr>
        <w:t xml:space="preserve">Organization and administration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616.8(1)</w:t>
      </w:r>
      <w:r>
        <w:rPr>
          <w:rFonts w:ascii="Times New Roman" w:hAnsi="Times New Roman"/>
          <w:b w:val="false"/>
          <w:i w:val="false"/>
          <w:color w:val="000000"/>
          <w:sz w:val="22"/>
        </w:rPr>
        <w:t> </w:t>
      </w:r>
      <w:r>
        <w:rPr>
          <w:rFonts w:ascii="Times New Roman" w:hAnsi="Times New Roman"/>
          <w:b w:val="false"/>
          <w:i w:val="false"/>
          <w:color w:val="000000"/>
          <w:sz w:val="22"/>
        </w:rPr>
        <w:t>The program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Authorization for conducting a program is granted in accordance with Iowa Code chapter </w:t>
      </w:r>
      <w:hyperlink r:id="rId15">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Authority and administrative responsibility. </w:t>
      </w:r>
      <w:r>
        <w:rPr>
          <w:rFonts w:ascii="Times New Roman" w:hAnsi="Times New Roman"/>
          <w:b w:val="false"/>
          <w:i w:val="false"/>
          <w:color w:val="000000"/>
          <w:sz w:val="22"/>
        </w:rPr>
        <w:t>The authority and administrative responsibility of the program is vested in the head of the program, who is responsible to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Organizational chart. </w:t>
      </w:r>
      <w:r>
        <w:rPr>
          <w:rFonts w:ascii="Times New Roman" w:hAnsi="Times New Roman"/>
          <w:b w:val="false"/>
          <w:i w:val="false"/>
          <w:color w:val="000000"/>
          <w:sz w:val="22"/>
        </w:rPr>
        <w:t>The organizational chart(s) indicates the lines of authority and communication within the program and with the central administration, other units within the controlling institution, cooperating agencies, and advisory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shall allocate adequate funds to carry out the purposes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head of the program and nursing faculty shall have input for the budgeted needs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Ethical practices. </w:t>
      </w:r>
      <w:r>
        <w:rPr>
          <w:rFonts w:ascii="Times New Roman" w:hAnsi="Times New Roman"/>
          <w:b w:val="false"/>
          <w:i w:val="false"/>
          <w:color w:val="000000"/>
          <w:sz w:val="22"/>
        </w:rPr>
        <w:t>Ethical practices and standards shall be consistent with those of the controlling institution and  made available to students and prospective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agreements. </w:t>
      </w:r>
      <w:r>
        <w:rPr>
          <w:rFonts w:ascii="Times New Roman" w:hAnsi="Times New Roman"/>
          <w:b w:val="false"/>
          <w:i w:val="false"/>
          <w:color w:val="000000"/>
          <w:sz w:val="22"/>
        </w:rPr>
        <w:t>Written contractual agreements shall exist between the program and the clinical facilities. The agreements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responsibilities of both parties related to patient or client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 for faculty control, selection and guidance of student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for termination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for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that the facility is in good standing with its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Accrediting and approving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or program shall be accredited by the Higher Learning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program is located at a community college, the controlling institution shall be approved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program is offered under the auspices of the United States armed forces, it shall be accredited by the U.S. Department of the Army.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Philosophy/mission and program outcomes. </w:t>
      </w:r>
      <w:r>
        <w:rPr>
          <w:rFonts w:ascii="Times New Roman" w:hAnsi="Times New Roman"/>
          <w:b w:val="false"/>
          <w:i w:val="false"/>
          <w:color w:val="000000"/>
          <w:sz w:val="22"/>
        </w:rPr>
        <w:t>The faculty shall develop a philosophy or mission statement and program outcomes that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Consistent with the philosophy or mission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Reflective of faculty beliefs about nursing, education and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guide in the development, implementation and evaluation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Available to students and prospective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Program evaluation. </w:t>
      </w:r>
      <w:r>
        <w:rPr>
          <w:rFonts w:ascii="Times New Roman" w:hAnsi="Times New Roman"/>
          <w:b w:val="false"/>
          <w:i w:val="false"/>
          <w:color w:val="000000"/>
          <w:sz w:val="22"/>
        </w:rPr>
        <w:t>A written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 the evaluation process for all aspects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methodology, tools, responsible parties and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evidence of implementation reflecting achievement of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616.8(2)</w:t>
      </w:r>
      <w:r>
        <w:rPr>
          <w:rFonts w:ascii="Times New Roman" w:hAnsi="Times New Roman"/>
          <w:b w:val="false"/>
          <w:i w:val="false"/>
          <w:color w:val="000000"/>
          <w:sz w:val="22"/>
        </w:rPr>
        <w:t> </w:t>
      </w:r>
      <w:r>
        <w:rPr>
          <w:rFonts w:ascii="Times New Roman" w:hAnsi="Times New Roman"/>
          <w:b w:val="false"/>
          <w:i w:val="false"/>
          <w:color w:val="000000"/>
          <w:sz w:val="22"/>
        </w:rPr>
        <w:t>Requirements for 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registered nurse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in clinical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years of teaching experience in a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Academic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employed on or before July 1, 1992, the individual is considered adequately prepared as long as that person remains in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employed after July 1, 1992, the individual must have a master’s or doctoral degree with a major in nursing at either level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program offers a baccalaureate or higher degree in nursing, the head of the program must have a doctoral degree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qualifications to the board within one month of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481—616.9</w:t>
      </w:r>
      <w:r>
        <w:rPr>
          <w:rFonts w:ascii="Times New Roman" w:hAnsi="Times New Roman"/>
          <w:b/>
          <w:i w:val="false"/>
          <w:color w:val="000000"/>
          <w:sz w:val="22"/>
        </w:rPr>
        <w:t xml:space="preserve">(152) </w:t>
      </w:r>
      <w:r>
        <w:rPr>
          <w:rFonts w:ascii="Times New Roman" w:hAnsi="Times New Roman"/>
          <w:b/>
          <w:i w:val="false"/>
          <w:color w:val="000000"/>
          <w:sz w:val="22"/>
        </w:rPr>
        <w:t xml:space="preserve">Resources of the controlling institution. </w:t>
      </w:r>
      <w:r>
        <w:rPr>
          <w:rFonts w:ascii="Times New Roman" w:hAnsi="Times New Roman"/>
          <w:b w:val="false"/>
          <w:i w:val="false"/>
          <w:color w:val="000000"/>
          <w:sz w:val="22"/>
        </w:rPr>
        <w:t>The controlling institution is responsible for the provision of resources adequate to meet program needs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616.9(1)</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w:t>
      </w:r>
      <w:r>
        <w:rPr>
          <w:rFonts w:ascii="Times New Roman" w:hAnsi="Times New Roman"/>
          <w:b w:val="false"/>
          <w:i w:val="false"/>
          <w:color w:val="000000"/>
          <w:sz w:val="22"/>
        </w:rPr>
        <w:t>Human resources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616.9(2)</w:t>
      </w:r>
      <w:r>
        <w:rPr>
          <w:rFonts w:ascii="Times New Roman" w:hAnsi="Times New Roman"/>
          <w:b w:val="false"/>
          <w:i w:val="false"/>
          <w:color w:val="000000"/>
          <w:sz w:val="22"/>
        </w:rPr>
        <w:t> </w:t>
      </w:r>
      <w:r>
        <w:rPr>
          <w:rFonts w:ascii="Times New Roman" w:hAnsi="Times New Roman"/>
          <w:b w:val="false"/>
          <w:i/>
          <w:color w:val="000000"/>
          <w:sz w:val="22"/>
        </w:rPr>
        <w:t xml:space="preserve">Physical resources. </w:t>
      </w:r>
      <w:r>
        <w:rPr>
          <w:rFonts w:ascii="Times New Roman" w:hAnsi="Times New Roman"/>
          <w:b w:val="false"/>
          <w:i w:val="false"/>
          <w:color w:val="000000"/>
          <w:sz w:val="22"/>
        </w:rPr>
        <w:t>Physical resources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Classrooms, conference rooms, laboratories, simulation laboratories, offices,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616.9(3)</w:t>
      </w:r>
      <w:r>
        <w:rPr>
          <w:rFonts w:ascii="Times New Roman" w:hAnsi="Times New Roman"/>
          <w:b w:val="false"/>
          <w:i w:val="false"/>
          <w:color w:val="000000"/>
          <w:sz w:val="22"/>
        </w:rPr>
        <w:t> </w:t>
      </w:r>
      <w:r>
        <w:rPr>
          <w:rFonts w:ascii="Times New Roman" w:hAnsi="Times New Roman"/>
          <w:b w:val="false"/>
          <w:i/>
          <w:color w:val="000000"/>
          <w:sz w:val="22"/>
        </w:rPr>
        <w:t xml:space="preserve">Learning resources. </w:t>
      </w:r>
      <w:r>
        <w:rPr>
          <w:rFonts w:ascii="Times New Roman" w:hAnsi="Times New Roman"/>
          <w:b w:val="false"/>
          <w:i w:val="false"/>
          <w:color w:val="000000"/>
          <w:sz w:val="22"/>
        </w:rPr>
        <w:t>Learning resources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Computer-mediated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Laboratory/simulation laboratory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616.9(4)</w:t>
      </w:r>
      <w:r>
        <w:rPr>
          <w:rFonts w:ascii="Times New Roman" w:hAnsi="Times New Roman"/>
          <w:b w:val="false"/>
          <w:i w:val="false"/>
          <w:color w:val="000000"/>
          <w:sz w:val="22"/>
        </w:rPr>
        <w:t> </w:t>
      </w:r>
      <w:r>
        <w:rPr>
          <w:rFonts w:ascii="Times New Roman" w:hAnsi="Times New Roman"/>
          <w:b w:val="false"/>
          <w:i/>
          <w:color w:val="000000"/>
          <w:sz w:val="22"/>
        </w:rPr>
        <w:t xml:space="preserve">Financial resources. </w:t>
      </w:r>
      <w:r>
        <w:rPr>
          <w:rFonts w:ascii="Times New Roman" w:hAnsi="Times New Roman"/>
          <w:b w:val="false"/>
          <w:i w:val="false"/>
          <w:color w:val="000000"/>
          <w:sz w:val="22"/>
        </w:rPr>
        <w:t>Adequate financial resources will be maintained to support and carry out the mission of the controlling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481—616.10</w:t>
      </w:r>
      <w:r>
        <w:rPr>
          <w:rFonts w:ascii="Times New Roman" w:hAnsi="Times New Roman"/>
          <w:b/>
          <w:i w:val="false"/>
          <w:color w:val="000000"/>
          <w:sz w:val="22"/>
        </w:rPr>
        <w:t xml:space="preserve">(152) </w:t>
      </w:r>
      <w:r>
        <w:rPr>
          <w:rFonts w:ascii="Times New Roman" w:hAnsi="Times New Roman"/>
          <w:b/>
          <w:i w:val="false"/>
          <w:color w:val="000000"/>
          <w:sz w:val="22"/>
        </w:rPr>
        <w:t xml:space="preserve">Curriculum.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616.10(1)</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Reflects current standards of nursing practice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consistent with laws governing the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sufficient preparation for the safe and effective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Includes planned learning experiences and strategies that demonstrate integration of knowledge and attainment of the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Reflects the roles for which the student is being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 evaluated on a regular basis by the faculty and reflects achievement of student outcomes as demonstrated in the program evaluation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offered within 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comparable in quality and requirements to other degree programs within the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planned in accordance with the college or university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Assigns credit hours for learning experiences that are consistent with the college or university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a teaching/learning environment (classroom, clinical, laboratory, or simulation) that supports achievement of expected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616.10(2)</w:t>
      </w:r>
      <w:r>
        <w:rPr>
          <w:rFonts w:ascii="Times New Roman" w:hAnsi="Times New Roman"/>
          <w:b w:val="false"/>
          <w:i w:val="false"/>
          <w:color w:val="000000"/>
          <w:sz w:val="22"/>
        </w:rPr>
        <w:t> </w:t>
      </w:r>
      <w:r>
        <w:rPr>
          <w:rFonts w:ascii="Times New Roman" w:hAnsi="Times New Roman"/>
          <w:b w:val="false"/>
          <w:i w:val="false"/>
          <w:color w:val="000000"/>
          <w:sz w:val="22"/>
        </w:rPr>
        <w:t>Standardized examinations may be used to supplement a program’s curriculum but shall not prevent a student’s academic progression 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is responsible for informing the students of the standardized examinations at the beginning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have a process and procedure for remediation of students who do not pass the standardized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616.10(3)</w:t>
      </w:r>
      <w:r>
        <w:rPr>
          <w:rFonts w:ascii="Times New Roman" w:hAnsi="Times New Roman"/>
          <w:b w:val="false"/>
          <w:i w:val="false"/>
          <w:color w:val="000000"/>
          <w:sz w:val="22"/>
        </w:rPr>
        <w:t> </w:t>
      </w:r>
      <w:r>
        <w:rPr>
          <w:rFonts w:ascii="Times New Roman" w:hAnsi="Times New Roman"/>
          <w:b w:val="false"/>
          <w:i w:val="false"/>
          <w:color w:val="000000"/>
          <w:sz w:val="22"/>
        </w:rPr>
        <w:t>Prelicensure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eligibility for initial licensure as a licensed practical nurse or registered nurse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consistent with the practice of nursing as defined in Iowa Code section </w:t>
      </w:r>
      <w:hyperlink r:id="rId16">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in medical, surgical, gerontological, mental health, and nursing of childbearing families and children that reflects current nursing practice and that encompasses health needs throughout the life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Opportunities to participate in the nursing process and to develop competencies in direct patient care, problem-solving methodologies, clinical judgment, communication, and the use of current equipment and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history and trends, including scope of practice, professional, legal, and ethical aspects.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Supporting content from the natural and social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identified in paragraph </w:t>
      </w:r>
      <w:hyperlink r:id="rId17">
        <w:r>
          <w:rPr>
            <w:rStyle w:val="Hyperlink"/>
            <w:rFonts w:ascii="Times New Roman" w:hAnsi="Times New Roman"/>
            <w:b w:val="false"/>
            <w:i w:val="false"/>
            <w:color w:val="000000"/>
            <w:sz w:val="22"/>
          </w:rPr>
          <w:t>616.10(3)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curriculum of a program leading to a diploma in practical nursing and to eligibility to apply for practical nurse licensure by examination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to be consistent with the scope of practice of a licensed practical nurse outlined in rules </w:t>
      </w:r>
      <w:hyperlink r:id="rId18">
        <w:r>
          <w:rPr>
            <w:rStyle w:val="Hyperlink"/>
            <w:rFonts w:ascii="Times New Roman" w:hAnsi="Times New Roman"/>
            <w:b w:val="false"/>
            <w:i w:val="false"/>
            <w:color w:val="000000"/>
            <w:sz w:val="22"/>
          </w:rPr>
          <w:t>481—620.3</w:t>
        </w:r>
      </w:hyperlink>
      <w:r>
        <w:rPr>
          <w:rFonts w:ascii="Times New Roman" w:hAnsi="Times New Roman"/>
          <w:b w:val="false"/>
          <w:i w:val="false"/>
          <w:color w:val="000000"/>
          <w:sz w:val="22"/>
        </w:rPr>
        <w:t xml:space="preserve">(152) and </w:t>
      </w:r>
      <w:hyperlink r:id="rId19">
        <w:r>
          <w:rPr>
            <w:rStyle w:val="Hyperlink"/>
            <w:rFonts w:ascii="Times New Roman" w:hAnsi="Times New Roman"/>
            <w:b w:val="false"/>
            <w:i w:val="false"/>
            <w:color w:val="000000"/>
            <w:sz w:val="22"/>
          </w:rPr>
          <w:t>481—620.6</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Focus on supportive or restorative care provided under the supervision of a registered nurse or physician/provider pursuant to Iowa Code section </w:t>
      </w:r>
      <w:hyperlink r:id="rId20">
        <w:r>
          <w:rPr>
            <w:rStyle w:val="Hyperlink"/>
            <w:rFonts w:ascii="Times New Roman" w:hAnsi="Times New Roman"/>
            <w:b w:val="false"/>
            <w:i w:val="false"/>
            <w:color w:val="000000"/>
            <w:sz w:val="22"/>
          </w:rPr>
          <w:t>152.1(4)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Learning experiences in medical, surgical and gerontological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of childbearing families and children and mental health that is supported by one or more of the following: clinical instruction, lab/simulation, or observation experiences adequate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identified in paragraph </w:t>
      </w:r>
      <w:hyperlink r:id="rId21">
        <w:r>
          <w:rPr>
            <w:rStyle w:val="Hyperlink"/>
            <w:rFonts w:ascii="Times New Roman" w:hAnsi="Times New Roman"/>
            <w:b w:val="false"/>
            <w:i w:val="false"/>
            <w:color w:val="000000"/>
            <w:sz w:val="22"/>
          </w:rPr>
          <w:t>616.10(3)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curriculum of a program leading to a degree in nursing and to eligibility to apply for registered nurse licensure by examination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consistent with the scope of practice of a registered nurse outlined in rules </w:t>
      </w:r>
      <w:hyperlink r:id="rId22">
        <w:r>
          <w:rPr>
            <w:rStyle w:val="Hyperlink"/>
            <w:rFonts w:ascii="Times New Roman" w:hAnsi="Times New Roman"/>
            <w:b w:val="false"/>
            <w:i w:val="false"/>
            <w:color w:val="000000"/>
            <w:sz w:val="22"/>
          </w:rPr>
          <w:t>481—620.2</w:t>
        </w:r>
      </w:hyperlink>
      <w:r>
        <w:rPr>
          <w:rFonts w:ascii="Times New Roman" w:hAnsi="Times New Roman"/>
          <w:b w:val="false"/>
          <w:i w:val="false"/>
          <w:color w:val="000000"/>
          <w:sz w:val="22"/>
        </w:rPr>
        <w:t xml:space="preserve">(152) and </w:t>
      </w:r>
      <w:hyperlink r:id="rId23">
        <w:r>
          <w:rPr>
            <w:rStyle w:val="Hyperlink"/>
            <w:rFonts w:ascii="Times New Roman" w:hAnsi="Times New Roman"/>
            <w:b w:val="false"/>
            <w:i w:val="false"/>
            <w:color w:val="000000"/>
            <w:sz w:val="22"/>
          </w:rPr>
          <w:t>481—620.7</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Focus on attaining, maintaining and regaining health and safety for individuals and groups by utilizing the principles of leadership, management, nursing informatics, and client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Learning experiences in medical, surgical, mental health and gerontological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of childbearing families and children that is supported by one or more of the following: clinical instruction, lab/simulation, or observation experiences adequate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program leads to a baccalaureate, master’s or doctoral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 in nursing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616.10(4)</w:t>
      </w:r>
      <w:r>
        <w:rPr>
          <w:rFonts w:ascii="Times New Roman" w:hAnsi="Times New Roman"/>
          <w:b w:val="false"/>
          <w:i w:val="false"/>
          <w:color w:val="000000"/>
          <w:sz w:val="22"/>
        </w:rPr>
        <w:t> </w:t>
      </w:r>
      <w:r>
        <w:rPr>
          <w:rFonts w:ascii="Times New Roman" w:hAnsi="Times New Roman"/>
          <w:b w:val="false"/>
          <w:i w:val="false"/>
          <w:color w:val="000000"/>
          <w:sz w:val="22"/>
        </w:rPr>
        <w:t>Postlicensure programs for registered nurses who do not hold a baccalaureate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that leads to a baccalaureate degree in nursing shall include learning experiences in nursing that will enable the student to achieve competencies comparable to outcomes of the prelicensure baccalaureate education, including content in nursing research and 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that leads to a master’s degree in nursing shall include content and learning experiences in nursing that will enable the student to achieve competencies comparable to outcomes of the prelicensure baccalaureate education and master’s education, including content in nursing research and 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616.10(5)</w:t>
      </w:r>
      <w:r>
        <w:rPr>
          <w:rFonts w:ascii="Times New Roman" w:hAnsi="Times New Roman"/>
          <w:b w:val="false"/>
          <w:i w:val="false"/>
          <w:color w:val="000000"/>
          <w:sz w:val="22"/>
        </w:rPr>
        <w:t> </w:t>
      </w:r>
      <w:r>
        <w:rPr>
          <w:rFonts w:ascii="Times New Roman" w:hAnsi="Times New Roman"/>
          <w:b w:val="false"/>
          <w:i w:val="false"/>
          <w:color w:val="000000"/>
          <w:sz w:val="22"/>
        </w:rPr>
        <w:t>Master’s, post-master’s, and doctoral programs for registered nurses who hold a baccalaureate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a master’s or doctoral degree in nursing shall include in-depth study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science, which includes content, practicum experiences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Advanced role areas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a master’s degree or post-master’s certificate in a nursing population focus, eligibility to apply for certification in the population focus by a national professional nursing organization approved by the board, and licensure as an advanced registered nurse practitioner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scope of practice of the advanced registered nurse practitioner  described in </w:t>
      </w:r>
      <w:hyperlink r:id="rId24">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advanced learning experiences in a specialty area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616.10(6)</w:t>
      </w:r>
      <w:r>
        <w:rPr>
          <w:rFonts w:ascii="Times New Roman" w:hAnsi="Times New Roman"/>
          <w:b w:val="false"/>
          <w:i w:val="false"/>
          <w:color w:val="000000"/>
          <w:sz w:val="22"/>
        </w:rPr>
        <w:t> </w:t>
      </w:r>
      <w:r>
        <w:rPr>
          <w:rFonts w:ascii="Times New Roman" w:hAnsi="Times New Roman"/>
          <w:b w:val="false"/>
          <w:i w:val="false"/>
          <w:color w:val="000000"/>
          <w:sz w:val="22"/>
        </w:rPr>
        <w:t>Nursing courses with a clinical or practicum component or both. The nursing program shall notify students and prospective students in writing that nursing courses with a clinical or practicum component may not be taken by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has been denied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Whose license is currently suspended, surrendered or revoked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Whose license is currently suspended, surrendered or revoked in another country due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616.10(7)</w:t>
      </w:r>
      <w:r>
        <w:rPr>
          <w:rFonts w:ascii="Times New Roman" w:hAnsi="Times New Roman"/>
          <w:b w:val="false"/>
          <w:i w:val="false"/>
          <w:color w:val="000000"/>
          <w:sz w:val="22"/>
        </w:rPr>
        <w:t> </w:t>
      </w:r>
      <w:r>
        <w:rPr>
          <w:rFonts w:ascii="Times New Roman" w:hAnsi="Times New Roman"/>
          <w:b w:val="false"/>
          <w:i w:val="false"/>
          <w:color w:val="000000"/>
          <w:sz w:val="22"/>
        </w:rPr>
        <w:t>Nursing programs with a simulation component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the simulation component does not exceed 50 percent of total clinical hours in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that the simulation activities are linked to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that simulation activities are based on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written policies and procedures regarding the method of debriefing each simulated activity and a plan for orienting faculty to simulation.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short-term and long-term plans for integration and maintenance of simulation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faculty educated in the use of simulation and who demonstrate ongoing expertise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simulation activities based on faculty and student feedback.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481—616.11</w:t>
      </w:r>
      <w:r>
        <w:rPr>
          <w:rFonts w:ascii="Times New Roman" w:hAnsi="Times New Roman"/>
          <w:b/>
          <w:i w:val="false"/>
          <w:color w:val="000000"/>
          <w:sz w:val="22"/>
        </w:rPr>
        <w:t xml:space="preserve">(152) </w:t>
      </w:r>
      <w:r>
        <w:rPr>
          <w:rFonts w:ascii="Times New Roman" w:hAnsi="Times New Roman"/>
          <w:b/>
          <w:i w:val="false"/>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616.11(1)</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The program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number of faculty who satisfy the requirements in subrule </w:t>
      </w:r>
      <w:hyperlink r:id="rId25">
        <w:r>
          <w:rPr>
            <w:rStyle w:val="Hyperlink"/>
            <w:rFonts w:ascii="Times New Roman" w:hAnsi="Times New Roman"/>
            <w:b w:val="false"/>
            <w:i w:val="false"/>
            <w:color w:val="000000"/>
            <w:sz w:val="22"/>
          </w:rPr>
          <w:t>616.11(2)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personnel policies and position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faculty development program that furthers the competence of individual faculty members and the faculty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teaching-load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faculty organization that operates according to written bylaws and that meets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a prelicensure program, a ratio of one faculty member to a maximum of eight students for hands-on learning situations in which students directly care for clients in a relevant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616.11(2)</w:t>
      </w:r>
      <w:r>
        <w:rPr>
          <w:rFonts w:ascii="Times New Roman" w:hAnsi="Times New Roman"/>
          <w:b w:val="false"/>
          <w:i w:val="false"/>
          <w:color w:val="000000"/>
          <w:sz w:val="22"/>
        </w:rPr>
        <w:t> </w:t>
      </w:r>
      <w:r>
        <w:rPr>
          <w:rFonts w:ascii="Times New Roman" w:hAnsi="Times New Roman"/>
          <w:b w:val="false"/>
          <w:i/>
          <w:color w:val="000000"/>
          <w:sz w:val="22"/>
        </w:rPr>
        <w:t xml:space="preserve">Faculty member requirements. </w:t>
      </w:r>
      <w:r>
        <w:rPr>
          <w:rFonts w:ascii="Times New Roman" w:hAnsi="Times New Roman"/>
          <w:b w:val="false"/>
          <w:i w:val="false"/>
          <w:color w:val="000000"/>
          <w:sz w:val="22"/>
        </w:rPr>
        <w:t>A faculty member who teaches nursing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registered nurse in Iowa or a multistate license according to the current nurse licensure compact contained in Iowa Code chapter </w:t>
      </w:r>
      <w:hyperlink r:id="rId2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prior to teaching.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in clinical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employed on or before July 1, 1992, the individual is considered adequately prepared as long as that faculty member remains in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faculty member who was hired to teach in a prelicensure registered nurse program shall have at least a baccalaureate degree with a major in nursing or an applicable field at the time of hire. This person shall make annual progress toward the attainment of a master’s or doctoral degree with a major in nursing or an applicable field. At least one degree shall be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Applicable fields include but are not limited to education, anthropology, gerontology, counseling, psychology, sociology, health education, health administration, and public health. A person who wishes to fulfill this requirement with education in an applicable field not listed may petition the board for a determination of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hire is the first day of employment with compensation at a particular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progress” means a minimum of one course per year taken as part of an organized plan of study. A written plan of study shall be kept in the employee’s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faculty member who was hired to teach after July 1, 1992, in a practical nursing program or at the first level of an associate degree nursing program with a ladder concept shall have a baccalaureate or higher degree in nursing or an applicable field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registered nurse hired to teach in a master’s program shall hold a master’s or doctoral degree with a major in nursing at the time of hire. A registered nurse teaching in a population focus shall hold a master’s degree with a major in nursing, advanced level certification by a national professional nursing organization approved by the board in the population focus area in which the individual teaches, and current licensure as an advanced registered nurse practitioner according to the laws of the state(s) in which the individual teaches. Faculty preparation at the doctoral or terminal degree level should be consistent with the mission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faculty member hired only to teach in the clinical setting shall be exempt from subparagraphs </w:t>
      </w:r>
      <w:hyperlink r:id="rId27">
        <w:r>
          <w:rPr>
            <w:rStyle w:val="Hyperlink"/>
            <w:rFonts w:ascii="Times New Roman" w:hAnsi="Times New Roman"/>
            <w:b w:val="false"/>
            <w:i w:val="false"/>
            <w:color w:val="000000"/>
            <w:sz w:val="22"/>
          </w:rPr>
          <w:t>2.11(2)</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w:t>
      </w:r>
      <w:r>
        <w:rPr>
          <w:rFonts w:ascii="Times New Roman" w:hAnsi="Times New Roman"/>
          <w:b w:val="false"/>
          <w:i/>
          <w:color w:val="000000"/>
          <w:sz w:val="22"/>
        </w:rPr>
        <w:t>“c”</w:t>
      </w:r>
      <w:r>
        <w:rPr>
          <w:rFonts w:ascii="Times New Roman" w:hAnsi="Times New Roman"/>
          <w:b w:val="false"/>
          <w:i w:val="false"/>
          <w:color w:val="000000"/>
          <w:sz w:val="22"/>
        </w:rPr>
        <w:t>(2) if the faculty member is closely supervised to ensure proper integration of didactic content into the clinical setting. If hired after July 1, 1992, a faculty member hired to teach only in the clinical setting shall have a baccalaureate degree in nursing or an applicable field or shall make annual progress toward the attainment of such a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481—616.12</w:t>
      </w:r>
      <w:r>
        <w:rPr>
          <w:rFonts w:ascii="Times New Roman" w:hAnsi="Times New Roman"/>
          <w:b/>
          <w:i w:val="false"/>
          <w:color w:val="000000"/>
          <w:sz w:val="22"/>
        </w:rPr>
        <w:t xml:space="preserve">(152) </w:t>
      </w:r>
      <w:r>
        <w:rPr>
          <w:rFonts w:ascii="Times New Roman" w:hAnsi="Times New Roman"/>
          <w:b/>
          <w:i w:val="false"/>
          <w:color w:val="000000"/>
          <w:sz w:val="22"/>
        </w:rPr>
        <w:t xml:space="preserve">Program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program and controlling institution. </w:t>
      </w:r>
      <w:r>
        <w:rPr>
          <w:rFonts w:ascii="Times New Roman" w:hAnsi="Times New Roman"/>
          <w:b w:val="false"/>
          <w:i w:val="false"/>
          <w:color w:val="000000"/>
          <w:sz w:val="22"/>
        </w:rPr>
        <w:t>The program will provide the following information to prospective and current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Philosophy/mission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description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Tuition, fees and refund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Ethical practices, including recruitment and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Official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program’s NCLEX® passing percentage for the prior calendar year, as published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616.12(2)</w:t>
      </w:r>
      <w:r>
        <w:rPr>
          <w:rFonts w:ascii="Times New Roman" w:hAnsi="Times New Roman"/>
          <w:b w:val="false"/>
          <w:i w:val="false"/>
          <w:color w:val="000000"/>
          <w:sz w:val="22"/>
        </w:rPr>
        <w:t> </w:t>
      </w:r>
      <w:r>
        <w:rPr>
          <w:rFonts w:ascii="Times New Roman" w:hAnsi="Times New Roman"/>
          <w:b w:val="false"/>
          <w:i/>
          <w:color w:val="000000"/>
          <w:sz w:val="22"/>
        </w:rPr>
        <w:t xml:space="preserve">Changes to program. </w:t>
      </w:r>
      <w:r>
        <w:rPr>
          <w:rFonts w:ascii="Times New Roman" w:hAnsi="Times New Roman"/>
          <w:b w:val="false"/>
          <w:i w:val="false"/>
          <w:color w:val="000000"/>
          <w:sz w:val="22"/>
        </w:rPr>
        <w:t>A nursing program may not make a change to a program during a student’s academic plan of study unless the change confers the benefit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616.12(3)</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The following records shall be dated and maintained according to the policies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 syllabi.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Faculty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Catalogs and program bulletins.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Curriculum revisions and reports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Graduate nursing file, excluding the final transcript and summative performance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616.12(4)</w:t>
      </w:r>
      <w:r>
        <w:rPr>
          <w:rFonts w:ascii="Times New Roman" w:hAnsi="Times New Roman"/>
          <w:b w:val="false"/>
          <w:i w:val="false"/>
          <w:color w:val="000000"/>
          <w:sz w:val="22"/>
        </w:rPr>
        <w:t> </w:t>
      </w:r>
      <w:r>
        <w:rPr>
          <w:rFonts w:ascii="Times New Roman" w:hAnsi="Times New Roman"/>
          <w:b w:val="false"/>
          <w:i/>
          <w:color w:val="000000"/>
          <w:sz w:val="22"/>
        </w:rPr>
        <w:t xml:space="preserve">Student and graduate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shall specify methods for permanent maintenance and protection of records against loss, destruction and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record shall include the official transcript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of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admission, completion of the program and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Courses that were accepted for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authenticity.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Degree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official transcript shall be maintained permanently.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summative performance statement will relate the performance of the student at the time of graduation to the program outcomes and be maintained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481—616.13</w:t>
      </w:r>
      <w:r>
        <w:rPr>
          <w:rFonts w:ascii="Times New Roman" w:hAnsi="Times New Roman"/>
          <w:b/>
          <w:i w:val="false"/>
          <w:color w:val="000000"/>
          <w:sz w:val="22"/>
        </w:rPr>
        <w:t xml:space="preserve">(152) </w:t>
      </w:r>
      <w:r>
        <w:rPr>
          <w:rFonts w:ascii="Times New Roman" w:hAnsi="Times New Roman"/>
          <w:b/>
          <w:i w:val="false"/>
          <w:color w:val="000000"/>
          <w:sz w:val="22"/>
        </w:rPr>
        <w:t xml:space="preserve">Student criminal history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initiate criminal history and child and dependent adult abuse record checks of students and prospective students to ensure a student’s ability to complete the clinical education component of the program in accordance with Iowa Code sections </w:t>
      </w:r>
      <w:hyperlink r:id="rId28">
        <w:r>
          <w:rPr>
            <w:rStyle w:val="Hyperlink"/>
            <w:rFonts w:ascii="Times New Roman" w:hAnsi="Times New Roman"/>
            <w:b w:val="false"/>
            <w:i w:val="false"/>
            <w:color w:val="000000"/>
            <w:sz w:val="22"/>
          </w:rPr>
          <w:t>152.5A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616.13(2)</w:t>
      </w:r>
      <w:r>
        <w:rPr>
          <w:rFonts w:ascii="Times New Roman" w:hAnsi="Times New Roman"/>
          <w:b w:val="false"/>
          <w:i w:val="false"/>
          <w:color w:val="000000"/>
          <w:sz w:val="22"/>
        </w:rPr>
        <w:t> </w:t>
      </w:r>
      <w:r>
        <w:rPr>
          <w:rFonts w:ascii="Times New Roman" w:hAnsi="Times New Roman"/>
          <w:b w:val="false"/>
          <w:i w:val="false"/>
          <w:color w:val="000000"/>
          <w:sz w:val="22"/>
        </w:rPr>
        <w:t>The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students and prospective students of the nursing program’s policy and procedure concerning criminal history and child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record checks in accordance with Iowa Code sections </w:t>
      </w:r>
      <w:hyperlink r:id="rId30">
        <w:r>
          <w:rPr>
            <w:rStyle w:val="Hyperlink"/>
            <w:rFonts w:ascii="Times New Roman" w:hAnsi="Times New Roman"/>
            <w:b w:val="false"/>
            <w:i w:val="false"/>
            <w:color w:val="000000"/>
            <w:sz w:val="22"/>
          </w:rPr>
          <w:t>152.5A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on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for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Returning to the clinical education component of the nursing program. Time frames between record checks may be determined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Anytime during the student’s enrollment in the nursing program pursuant to the program’s policy and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Abide by the results of the evaluation performed by the department of health and human services when determining a student’s ability to complete the clinical education component of a nursing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481—616.14</w:t>
      </w:r>
      <w:r>
        <w:rPr>
          <w:rFonts w:ascii="Times New Roman" w:hAnsi="Times New Roman"/>
          <w:b/>
          <w:i w:val="false"/>
          <w:color w:val="000000"/>
          <w:sz w:val="22"/>
        </w:rPr>
        <w:t xml:space="preserve">(152) </w:t>
      </w:r>
      <w:r>
        <w:rPr>
          <w:rFonts w:ascii="Times New Roman" w:hAnsi="Times New Roman"/>
          <w:b/>
          <w:i w:val="false"/>
          <w:color w:val="000000"/>
          <w:sz w:val="22"/>
        </w:rPr>
        <w:t xml:space="preserve">Clinical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616.14(1)</w:t>
      </w:r>
      <w:r>
        <w:rPr>
          <w:rFonts w:ascii="Times New Roman" w:hAnsi="Times New Roman"/>
          <w:b w:val="false"/>
          <w:i w:val="false"/>
          <w:color w:val="000000"/>
          <w:sz w:val="22"/>
        </w:rPr>
        <w:t> </w:t>
      </w:r>
      <w:r>
        <w:rPr>
          <w:rFonts w:ascii="Times New Roman" w:hAnsi="Times New Roman"/>
          <w:b w:val="false"/>
          <w:i w:val="false"/>
          <w:color w:val="000000"/>
          <w:sz w:val="22"/>
        </w:rPr>
        <w:t>The clinical facilities shall provide learning experiences that meet curriculum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616.14(2)</w:t>
      </w:r>
      <w:r>
        <w:rPr>
          <w:rFonts w:ascii="Times New Roman" w:hAnsi="Times New Roman"/>
          <w:b w:val="false"/>
          <w:i w:val="false"/>
          <w:color w:val="000000"/>
          <w:sz w:val="22"/>
        </w:rPr>
        <w:t> </w:t>
      </w:r>
      <w:r>
        <w:rPr>
          <w:rFonts w:ascii="Times New Roman" w:hAnsi="Times New Roman"/>
          <w:b w:val="false"/>
          <w:i w:val="false"/>
          <w:color w:val="000000"/>
          <w:sz w:val="22"/>
        </w:rPr>
        <w:t>The program  provides information to the board about clinical facilities used for learning experiences,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clinical facility’s accredited/approved status and evidence of good standing by its regulatory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student experiences are coordinated with programs that use the same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481—616.15</w:t>
      </w:r>
      <w:r>
        <w:rPr>
          <w:rFonts w:ascii="Times New Roman" w:hAnsi="Times New Roman"/>
          <w:b/>
          <w:i w:val="false"/>
          <w:color w:val="000000"/>
          <w:sz w:val="22"/>
        </w:rPr>
        <w:t xml:space="preserve">(152) </w:t>
      </w:r>
      <w:r>
        <w:rPr>
          <w:rFonts w:ascii="Times New Roman" w:hAnsi="Times New Roman"/>
          <w:b/>
          <w:i w:val="false"/>
          <w:color w:val="000000"/>
          <w:sz w:val="22"/>
        </w:rPr>
        <w:t xml:space="preserve">Undergraduate and non-ARNP graduate program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616.15(1)</w:t>
      </w:r>
      <w:r>
        <w:rPr>
          <w:rFonts w:ascii="Times New Roman" w:hAnsi="Times New Roman"/>
          <w:b w:val="false"/>
          <w:i w:val="false"/>
          <w:color w:val="000000"/>
          <w:sz w:val="22"/>
        </w:rPr>
        <w:t> </w:t>
      </w:r>
      <w:r>
        <w:rPr>
          <w:rFonts w:ascii="Times New Roman" w:hAnsi="Times New Roman"/>
          <w:b w:val="false"/>
          <w:i w:val="false"/>
          <w:color w:val="000000"/>
          <w:sz w:val="22"/>
        </w:rPr>
        <w:t>The nursing program, in collaboration with a clinical facility, selects preceptors to provide supportive learning experiences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and student will work together to find an appropriate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appropriate preceptor is a licensee who has equivalent licensure as the student or practices in the same role for which the student is preparing.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616.15(2)</w:t>
      </w:r>
      <w:r>
        <w:rPr>
          <w:rFonts w:ascii="Times New Roman" w:hAnsi="Times New Roman"/>
          <w:b w:val="false"/>
          <w:i w:val="false"/>
          <w:color w:val="000000"/>
          <w:sz w:val="22"/>
        </w:rPr>
        <w:t> </w:t>
      </w:r>
      <w:r>
        <w:rPr>
          <w:rFonts w:ascii="Times New Roman" w:hAnsi="Times New Roman"/>
          <w:b w:val="false"/>
          <w:i w:val="false"/>
          <w:color w:val="000000"/>
          <w:sz w:val="22"/>
        </w:rPr>
        <w:t>The qualifications of a preceptor will be appropriate to support the philosophy, 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preceptor shall be employed by or maintain a current written agreement with the clinical facility in which a preceptorship experience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preceptor shall be currently licensed as a registered nurse, licensed practical nurse, or advanced registered nurse practitioner according to the laws of the state in which the preceptor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functions according to written policies for selection, evaluation and reappointment developed by the program. Written qualifications, developed by the program, shall address educational preparation, experience, and clinical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is responsible for informing the preceptor of the responsibilities of the preceptor, faculty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 retains ultimate responsibility for student learning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616.15(3)</w:t>
      </w:r>
      <w:r>
        <w:rPr>
          <w:rFonts w:ascii="Times New Roman" w:hAnsi="Times New Roman"/>
          <w:b w:val="false"/>
          <w:i w:val="false"/>
          <w:color w:val="000000"/>
          <w:sz w:val="22"/>
        </w:rPr>
        <w:t> </w:t>
      </w:r>
      <w:r>
        <w:rPr>
          <w:rFonts w:ascii="Times New Roman" w:hAnsi="Times New Roman"/>
          <w:b w:val="false"/>
          <w:i w:val="false"/>
          <w:color w:val="000000"/>
          <w:sz w:val="22"/>
        </w:rPr>
        <w:t>The program shall inform the board about the preceptorship learning experience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preceptorship agreements are reviewed annually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settings in which preceptorship experiences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rationale for the ratio of students to preceptors shall be documented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616.15(4)</w:t>
      </w:r>
      <w:r>
        <w:rPr>
          <w:rFonts w:ascii="Times New Roman" w:hAnsi="Times New Roman"/>
          <w:b w:val="false"/>
          <w:i w:val="false"/>
          <w:color w:val="000000"/>
          <w:sz w:val="22"/>
        </w:rPr>
        <w:t> </w:t>
      </w:r>
      <w:r>
        <w:rPr>
          <w:rFonts w:ascii="Times New Roman" w:hAnsi="Times New Roman"/>
          <w:b w:val="false"/>
          <w:i w:val="false"/>
          <w:color w:val="000000"/>
          <w:sz w:val="22"/>
        </w:rPr>
        <w:t>An individual who is not a registered nurse or a licensed practical nurse may serve as a preceptor when appropriate to the philosophy, mission, and outcomes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481—616.16</w:t>
      </w:r>
      <w:r>
        <w:rPr>
          <w:rFonts w:ascii="Times New Roman" w:hAnsi="Times New Roman"/>
          <w:b/>
          <w:i w:val="false"/>
          <w:color w:val="000000"/>
          <w:sz w:val="22"/>
        </w:rPr>
        <w:t xml:space="preserve">(152) </w:t>
      </w:r>
      <w:r>
        <w:rPr>
          <w:rFonts w:ascii="Times New Roman" w:hAnsi="Times New Roman"/>
          <w:b/>
          <w:i w:val="false"/>
          <w:color w:val="000000"/>
          <w:sz w:val="22"/>
        </w:rPr>
        <w:t xml:space="preserve">ARNP program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616.16(1)</w:t>
      </w:r>
      <w:r>
        <w:rPr>
          <w:rFonts w:ascii="Times New Roman" w:hAnsi="Times New Roman"/>
          <w:b w:val="false"/>
          <w:i w:val="false"/>
          <w:color w:val="000000"/>
          <w:sz w:val="22"/>
        </w:rPr>
        <w:t> </w:t>
      </w:r>
      <w:r>
        <w:rPr>
          <w:rFonts w:ascii="Times New Roman" w:hAnsi="Times New Roman"/>
          <w:b w:val="false"/>
          <w:i w:val="false"/>
          <w:color w:val="000000"/>
          <w:sz w:val="22"/>
        </w:rPr>
        <w:t>A preceptor is selected by the nursing program in collaboration with a clinical facility to provide supportive learning experiences consistent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and student will find an appropriate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 shall have the majority of student preceptorship learning experiences happen with a preceptor who is an ARNP or physician with the same role and population focus for which the student is preparing.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preceptorship agreements shall be reviewed annually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preceptorship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rationale for the ratio of students to preceptors shall be documented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616.16(2)</w:t>
      </w:r>
      <w:r>
        <w:rPr>
          <w:rFonts w:ascii="Times New Roman" w:hAnsi="Times New Roman"/>
          <w:b w:val="false"/>
          <w:i w:val="false"/>
          <w:color w:val="000000"/>
          <w:sz w:val="22"/>
        </w:rPr>
        <w:t> </w:t>
      </w:r>
      <w:r>
        <w:rPr>
          <w:rFonts w:ascii="Times New Roman" w:hAnsi="Times New Roman"/>
          <w:b w:val="false"/>
          <w:i w:val="false"/>
          <w:color w:val="000000"/>
          <w:sz w:val="22"/>
        </w:rPr>
        <w:t>The preceptor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qualifications appropriate to support the philosophy, 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employed by or maintain a current written agreement with the clinical facility in which a preceptorship experience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currently licensed as an advanced registered nurse practitioner or physician according to the laws of the state in which the preceptor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Function according to written policies for selection, evaluation and reappointment developed by the program addressing educational preparation, experience, and clinical competence.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481—616.17</w:t>
      </w:r>
      <w:r>
        <w:rPr>
          <w:rFonts w:ascii="Times New Roman" w:hAnsi="Times New Roman"/>
          <w:b/>
          <w:i w:val="false"/>
          <w:color w:val="000000"/>
          <w:sz w:val="22"/>
        </w:rPr>
        <w:t xml:space="preserve">(152) </w:t>
      </w:r>
      <w:r>
        <w:rPr>
          <w:rFonts w:ascii="Times New Roman" w:hAnsi="Times New Roman"/>
          <w:b/>
          <w:i w:val="false"/>
          <w:color w:val="000000"/>
          <w:sz w:val="22"/>
        </w:rPr>
        <w:t xml:space="preserve">Results of graduates who take the licensure examination for the first time. </w:t>
      </w:r>
      <w:r>
        <w:rPr>
          <w:rFonts w:ascii="Times New Roman" w:hAnsi="Times New Roman"/>
          <w:b w:val="false"/>
          <w:i w:val="false"/>
          <w:color w:val="000000"/>
          <w:sz w:val="22"/>
        </w:rPr>
        <w:t>The program shall notify the board when the program’s NCLEX® passing percentage is lower than 80 percent for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616.17(1)</w:t>
      </w:r>
      <w:r>
        <w:rPr>
          <w:rFonts w:ascii="Times New Roman" w:hAnsi="Times New Roman"/>
          <w:b w:val="false"/>
          <w:i w:val="false"/>
          <w:color w:val="000000"/>
          <w:sz w:val="22"/>
        </w:rPr>
        <w:t> </w:t>
      </w:r>
      <w:r>
        <w:rPr>
          <w:rFonts w:ascii="Times New Roman" w:hAnsi="Times New Roman"/>
          <w:b w:val="false"/>
          <w:i w:val="false"/>
          <w:color w:val="000000"/>
          <w:sz w:val="22"/>
        </w:rPr>
        <w:t>The program demonstrates that it meets the NCLEX® passing rate of 80 percent in any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those who take the licensure examination for the first time for the most recent calendar year (January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all who take the licensure examination for the most recent calendar year (January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those who take the licensure examination for the first time over the three most recent calendar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all who take the licensure examination over the three most recent calendar years.</w:t>
      </w:r>
    </w:p>
    <w:p>
      <w:pPr>
        <w:spacing w:before="0" w:after="0"/>
        <w:ind w:left="120"/>
        <w:jc w:val="both"/>
      </w:pPr>
      <w:r>
        <w:rPr>
          <w:rFonts w:ascii="Times New Roman" w:hAnsi="Times New Roman"/>
          <w:b w:val="false"/>
          <w:i w:val="false"/>
          <w:color w:val="000000"/>
          <w:sz w:val="22"/>
        </w:rPr>
        <w:t xml:space="preserve">For each campus or site and track, identify which of the options in paragraphs </w:t>
      </w:r>
      <w:hyperlink r:id="rId32">
        <w:r>
          <w:rPr>
            <w:rStyle w:val="Hyperlink"/>
            <w:rFonts w:ascii="Times New Roman" w:hAnsi="Times New Roman"/>
            <w:b w:val="false"/>
            <w:i w:val="false"/>
            <w:color w:val="000000"/>
            <w:sz w:val="22"/>
          </w:rPr>
          <w:t>2.17(1)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was used to calculate the pass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616.17(2)</w:t>
      </w:r>
      <w:r>
        <w:rPr>
          <w:rFonts w:ascii="Times New Roman" w:hAnsi="Times New Roman"/>
          <w:b w:val="false"/>
          <w:i w:val="false"/>
          <w:color w:val="000000"/>
          <w:sz w:val="22"/>
        </w:rPr>
        <w:t> </w:t>
      </w:r>
      <w:r>
        <w:rPr>
          <w:rFonts w:ascii="Times New Roman" w:hAnsi="Times New Roman"/>
          <w:b w:val="false"/>
          <w:i w:val="false"/>
          <w:color w:val="000000"/>
          <w:sz w:val="22"/>
        </w:rPr>
        <w:t>A program whose NCLEX® passing percentage is lower than 80 percent shall submit an institutional plan and appear before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616.17(3)</w:t>
      </w:r>
      <w:r>
        <w:rPr>
          <w:rFonts w:ascii="Times New Roman" w:hAnsi="Times New Roman"/>
          <w:b w:val="false"/>
          <w:i w:val="false"/>
          <w:color w:val="000000"/>
          <w:sz w:val="22"/>
        </w:rPr>
        <w:t> </w:t>
      </w:r>
      <w:r>
        <w:rPr>
          <w:rFonts w:ascii="Times New Roman" w:hAnsi="Times New Roman"/>
          <w:b w:val="false"/>
          <w:i w:val="false"/>
          <w:color w:val="000000"/>
          <w:sz w:val="22"/>
        </w:rPr>
        <w:t>After submission of the institutional plan, for each consecutive calendar year that a program’s NCLEX® passing percentage is lower than 80 percent, the program shall submit an institutional plan evaluation and appear before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616.17(4)</w:t>
      </w:r>
      <w:r>
        <w:rPr>
          <w:rFonts w:ascii="Times New Roman" w:hAnsi="Times New Roman"/>
          <w:b w:val="false"/>
          <w:i w:val="false"/>
          <w:color w:val="000000"/>
          <w:sz w:val="22"/>
        </w:rPr>
        <w:t> </w:t>
      </w:r>
      <w:r>
        <w:rPr>
          <w:rFonts w:ascii="Times New Roman" w:hAnsi="Times New Roman"/>
          <w:b w:val="false"/>
          <w:i w:val="false"/>
          <w:color w:val="000000"/>
          <w:sz w:val="22"/>
        </w:rPr>
        <w:t>Programs with an NCLEX® passing percentage that falls below 80 percent for three consecutive calendar years will be placed on improvement status after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616.17(5)</w:t>
      </w:r>
      <w:r>
        <w:rPr>
          <w:rFonts w:ascii="Times New Roman" w:hAnsi="Times New Roman"/>
          <w:b w:val="false"/>
          <w:i w:val="false"/>
          <w:color w:val="000000"/>
          <w:sz w:val="22"/>
        </w:rPr>
        <w:t> </w:t>
      </w:r>
      <w:r>
        <w:rPr>
          <w:rFonts w:ascii="Times New Roman" w:hAnsi="Times New Roman"/>
          <w:b w:val="false"/>
          <w:i w:val="false"/>
          <w:color w:val="000000"/>
          <w:sz w:val="22"/>
        </w:rPr>
        <w:t>A program on improvement status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current and prospective students of the program’s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quarterly reports and present the reports to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616.17(6)</w:t>
      </w:r>
      <w:r>
        <w:rPr>
          <w:rFonts w:ascii="Times New Roman" w:hAnsi="Times New Roman"/>
          <w:b w:val="false"/>
          <w:i w:val="false"/>
          <w:color w:val="000000"/>
          <w:sz w:val="22"/>
        </w:rPr>
        <w:t> </w:t>
      </w:r>
      <w:r>
        <w:rPr>
          <w:rFonts w:ascii="Times New Roman" w:hAnsi="Times New Roman"/>
          <w:b w:val="false"/>
          <w:i w:val="false"/>
          <w:color w:val="000000"/>
          <w:sz w:val="22"/>
        </w:rPr>
        <w:t>Board staff may conduct a site visit to the program at any time while the program is on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616.17(7)</w:t>
      </w:r>
      <w:r>
        <w:rPr>
          <w:rFonts w:ascii="Times New Roman" w:hAnsi="Times New Roman"/>
          <w:b w:val="false"/>
          <w:i w:val="false"/>
          <w:color w:val="000000"/>
          <w:sz w:val="22"/>
        </w:rPr>
        <w:t> </w:t>
      </w:r>
      <w:r>
        <w:rPr>
          <w:rFonts w:ascii="Times New Roman" w:hAnsi="Times New Roman"/>
          <w:b w:val="false"/>
          <w:i w:val="false"/>
          <w:color w:val="000000"/>
          <w:sz w:val="22"/>
        </w:rPr>
        <w:t>Programs that remain on improvement status for two consecutive calendar years shall submit a revised institutional plan and appear before the board as directed.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revised institutional plan and formulate an action plan for the program on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Individualize the action plan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616.17(8)</w:t>
      </w:r>
      <w:r>
        <w:rPr>
          <w:rFonts w:ascii="Times New Roman" w:hAnsi="Times New Roman"/>
          <w:b w:val="false"/>
          <w:i w:val="false"/>
          <w:color w:val="000000"/>
          <w:sz w:val="22"/>
        </w:rPr>
        <w:t> </w:t>
      </w:r>
      <w:r>
        <w:rPr>
          <w:rFonts w:ascii="Times New Roman" w:hAnsi="Times New Roman"/>
          <w:b w:val="false"/>
          <w:i w:val="false"/>
          <w:color w:val="000000"/>
          <w:sz w:val="22"/>
        </w:rPr>
        <w:t>A program will be removed from improvement status when the program’s NCLEX® passing percentage is above 80 percent for one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481—616.18</w:t>
      </w:r>
      <w:r>
        <w:rPr>
          <w:rFonts w:ascii="Times New Roman" w:hAnsi="Times New Roman"/>
          <w:b/>
          <w:i w:val="false"/>
          <w:color w:val="000000"/>
          <w:sz w:val="22"/>
        </w:rPr>
        <w:t xml:space="preserve">(152) </w:t>
      </w:r>
      <w:r>
        <w:rPr>
          <w:rFonts w:ascii="Times New Roman" w:hAnsi="Times New Roman"/>
          <w:b/>
          <w:i w:val="false"/>
          <w:color w:val="000000"/>
          <w:sz w:val="22"/>
        </w:rPr>
        <w:t xml:space="preserve">Reports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616.18(1)</w:t>
      </w:r>
      <w:r>
        <w:rPr>
          <w:rFonts w:ascii="Times New Roman" w:hAnsi="Times New Roman"/>
          <w:b w:val="false"/>
          <w:i w:val="false"/>
          <w:color w:val="000000"/>
          <w:sz w:val="22"/>
        </w:rPr>
        <w:t> </w:t>
      </w:r>
      <w:r>
        <w:rPr>
          <w:rFonts w:ascii="Times New Roman" w:hAnsi="Times New Roman"/>
          <w:b w:val="false"/>
          <w:i w:val="false"/>
          <w:color w:val="000000"/>
          <w:sz w:val="22"/>
        </w:rPr>
        <w:t>Annual reports. The head of the program shall submit an annual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616.18(2)</w:t>
      </w:r>
      <w:r>
        <w:rPr>
          <w:rFonts w:ascii="Times New Roman" w:hAnsi="Times New Roman"/>
          <w:b w:val="false"/>
          <w:i w:val="false"/>
          <w:color w:val="000000"/>
          <w:sz w:val="22"/>
        </w:rPr>
        <w:t> </w:t>
      </w:r>
      <w:r>
        <w:rPr>
          <w:rFonts w:ascii="Times New Roman" w:hAnsi="Times New Roman"/>
          <w:b w:val="false"/>
          <w:i w:val="false"/>
          <w:color w:val="000000"/>
          <w:sz w:val="22"/>
        </w:rPr>
        <w:t>Reports. The program shall notify the board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controlling institution, including official name of the program(s) and controlling institution, organizational chart of the controlling institution, and names of administrative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administrative personnel in the program or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Opening of a new site or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616.18(3)</w:t>
      </w:r>
      <w:r>
        <w:rPr>
          <w:rFonts w:ascii="Times New Roman" w:hAnsi="Times New Roman"/>
          <w:b w:val="false"/>
          <w:i w:val="false"/>
          <w:color w:val="000000"/>
          <w:sz w:val="22"/>
        </w:rPr>
        <w:t> </w:t>
      </w:r>
      <w:r>
        <w:rPr>
          <w:rFonts w:ascii="Times New Roman" w:hAnsi="Times New Roman"/>
          <w:b w:val="false"/>
          <w:i w:val="false"/>
          <w:color w:val="000000"/>
          <w:sz w:val="22"/>
        </w:rPr>
        <w:t>Changes requiring board notification and approval. The program shall submit one copy of a proposed change for board approval at least four weeks prior to the next scheduled board meeting when the outcome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Lengthen or shorten the plan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 or delete academic credit in a course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Delete a course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a new course. A program shall submit the following to be implemented within six months of an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Outcomes/objectives.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 graduation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the human, physical or learning resources provided by the controlling institution to meet program needs as described in rule </w:t>
      </w:r>
      <w:hyperlink r:id="rId33">
        <w:r>
          <w:rPr>
            <w:rStyle w:val="Hyperlink"/>
            <w:rFonts w:ascii="Times New Roman" w:hAnsi="Times New Roman"/>
            <w:b w:val="false"/>
            <w:i w:val="false"/>
            <w:color w:val="000000"/>
            <w:sz w:val="22"/>
          </w:rPr>
          <w:t>481—616.9</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Substantively alter the philosophy/mission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Revise the predominant method of instruction or delivery, including transition from on-site to self-study 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Entail delivery of a cooperative program of study with an institution that does not provide a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Increase the number of student admissions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program makes changes as part of a plan to improve the program’s NCLEX® passing percentage pursuant to rule </w:t>
      </w:r>
      <w:hyperlink r:id="rId34">
        <w:r>
          <w:rPr>
            <w:rStyle w:val="Hyperlink"/>
            <w:rFonts w:ascii="Times New Roman" w:hAnsi="Times New Roman"/>
            <w:b w:val="false"/>
            <w:i w:val="false"/>
            <w:color w:val="000000"/>
            <w:sz w:val="22"/>
          </w:rPr>
          <w:t>481—616.17</w:t>
        </w:r>
      </w:hyperlink>
      <w:r>
        <w:rPr>
          <w:rFonts w:ascii="Times New Roman" w:hAnsi="Times New Roman"/>
          <w:b w:val="false"/>
          <w:i w:val="false"/>
          <w:color w:val="000000"/>
          <w:sz w:val="22"/>
        </w:rPr>
        <w:t>(152), such changes must also be separately submitted to the board for approval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 xml:space="preserve"> and chapter </w:t>
      </w:r>
      <w:hyperlink r:id="rId3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 amended 8/11/70]</w:t>
      </w:r>
    </w:p>
    <w:p>
      <w:pPr>
        <w:spacing w:before="0" w:after="0"/>
        <w:ind w:left="120"/>
        <w:jc w:val="center"/>
      </w:pPr>
      <w:r>
        <w:rPr>
          <w:rFonts w:ascii="Times New Roman" w:hAnsi="Times New Roman"/>
          <w:b w:val="false"/>
          <w:i w:val="false"/>
          <w:color w:val="000000"/>
          <w:sz w:val="21"/>
        </w:rPr>
        <w:t>[Filed 5/3/76, Notices 1/12/76, 3/22/76—published 5/17/76, effective 6/21/76]</w:t>
      </w:r>
    </w:p>
    <w:p>
      <w:pPr>
        <w:spacing w:before="0" w:after="0"/>
        <w:ind w:left="120"/>
        <w:jc w:val="center"/>
      </w:pPr>
      <w:r>
        <w:rPr>
          <w:rFonts w:ascii="Times New Roman" w:hAnsi="Times New Roman"/>
          <w:b w:val="false"/>
          <w:i w:val="false"/>
          <w:color w:val="000000"/>
          <w:sz w:val="21"/>
        </w:rPr>
        <w:t>[Filed 10/3/77, Notice 8/24/77—published 10/19/77, effective 11/23/77]</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2/17/87, Notice 8/13/86—published 3/11/87, effective 4/15/87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4/15/87—published 5/6/87, effective 4/15/87]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12/3/87, Notice 8/26/87—published 12/30/87, effective 2/3/88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4/15/88, Notice 2/24/88—published 5/4/88, effective 6/8/88]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emergency 9/24/90 after Notice 8/8/90—published 10/17/90, effective 9/24/90]</w:t>
      </w:r>
    </w:p>
    <w:p>
      <w:pPr>
        <w:spacing w:before="0" w:after="0"/>
        <w:ind w:left="120"/>
        <w:jc w:val="center"/>
      </w:pPr>
      <w:r>
        <w:rPr>
          <w:rFonts w:ascii="Times New Roman" w:hAnsi="Times New Roman"/>
          <w:b w:val="false"/>
          <w:i w:val="false"/>
          <w:color w:val="000000"/>
          <w:sz w:val="21"/>
        </w:rPr>
        <w:t>[Filed 5/7/92, Notice 4/1/92—published 5/27/92, effective 7/1/92]</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9/26/97, Notice 7/2/97—published 10/22/97, effective 11/26/97]</w:t>
      </w:r>
    </w:p>
    <w:p>
      <w:pPr>
        <w:spacing w:before="0" w:after="0"/>
        <w:ind w:left="120"/>
        <w:jc w:val="center"/>
      </w:pPr>
      <w:r>
        <w:rPr>
          <w:rFonts w:ascii="Times New Roman" w:hAnsi="Times New Roman"/>
          <w:b w:val="false"/>
          <w:i w:val="false"/>
          <w:color w:val="000000"/>
          <w:sz w:val="21"/>
        </w:rPr>
        <w:t>[Filed 6/24/98, Notice 4/8/98—published 7/15/98, effective 8/19/98]</w:t>
      </w:r>
    </w:p>
    <w:p>
      <w:pPr>
        <w:spacing w:before="0" w:after="0"/>
        <w:ind w:left="120"/>
        <w:jc w:val="center"/>
      </w:pPr>
      <w:r>
        <w:rPr>
          <w:rFonts w:ascii="Times New Roman" w:hAnsi="Times New Roman"/>
          <w:b w:val="false"/>
          <w:i w:val="false"/>
          <w:color w:val="000000"/>
          <w:sz w:val="21"/>
        </w:rPr>
        <w:t>[Filed 3/16/00, Notice 1/12/00—published 4/5/00, effective 5/10/00]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9/12/02, Notice 6/26/02—published 10/2/02, effective 11/6/02]</w:t>
      </w:r>
    </w:p>
    <w:p>
      <w:pPr>
        <w:spacing w:before="0" w:after="0"/>
        <w:ind w:left="120"/>
        <w:jc w:val="center"/>
      </w:pPr>
      <w:r>
        <w:rPr>
          <w:rFonts w:ascii="Times New Roman" w:hAnsi="Times New Roman"/>
          <w:b w:val="false"/>
          <w:i w:val="false"/>
          <w:color w:val="000000"/>
          <w:sz w:val="21"/>
        </w:rPr>
        <w:t>[Filed 12/5/03, Notice 10/1/03—published 12/24/03, effective 1/28/04]</w:t>
      </w:r>
    </w:p>
    <w:p>
      <w:pPr>
        <w:spacing w:before="0" w:after="0"/>
        <w:ind w:left="120"/>
        <w:jc w:val="center"/>
      </w:pPr>
      <w:r>
        <w:rPr>
          <w:rFonts w:ascii="Times New Roman" w:hAnsi="Times New Roman"/>
          <w:b w:val="false"/>
          <w:i w:val="false"/>
          <w:color w:val="000000"/>
          <w:sz w:val="21"/>
        </w:rPr>
        <w:t>[Filed 9/20/07, Notice 7/18/07—published 10/10/07, effective 11/14/07]</w:t>
      </w:r>
    </w:p>
    <w:p>
      <w:pPr>
        <w:spacing w:before="0" w:after="0"/>
        <w:ind w:left="120"/>
        <w:jc w:val="center"/>
      </w:pPr>
      <w:r>
        <w:rPr>
          <w:rFonts w:ascii="Times New Roman" w:hAnsi="Times New Roman"/>
          <w:b w:val="false"/>
          <w:i w:val="false"/>
          <w:color w:val="000000"/>
          <w:sz w:val="21"/>
        </w:rPr>
        <w:t>[Filed ARC 3497C</w:t>
      </w:r>
      <w:r>
        <w:rPr>
          <w:rFonts w:ascii="Times New Roman" w:hAnsi="Times New Roman"/>
          <w:b w:val="false"/>
          <w:i w:val="false"/>
          <w:color w:val="000000"/>
          <w:sz w:val="21"/>
        </w:rPr>
        <w:t xml:space="preserve"> (Notice ARC 3127C, IAB 6/21/17)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5286C</w:t>
      </w:r>
      <w:r>
        <w:rPr>
          <w:rFonts w:ascii="Times New Roman" w:hAnsi="Times New Roman"/>
          <w:b w:val="false"/>
          <w:i w:val="false"/>
          <w:color w:val="000000"/>
          <w:sz w:val="21"/>
        </w:rPr>
        <w:t xml:space="preserve"> (Notice ARC 5117C, IAB 7/29/20)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5825C</w:t>
      </w:r>
      <w:r>
        <w:rPr>
          <w:rFonts w:ascii="Times New Roman" w:hAnsi="Times New Roman"/>
          <w:b w:val="false"/>
          <w:i w:val="false"/>
          <w:color w:val="000000"/>
          <w:sz w:val="21"/>
        </w:rPr>
        <w:t xml:space="preserve"> (Notice ARC 5615C, IAB 5/5/21)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9159C</w:t>
      </w:r>
      <w:r>
        <w:rPr>
          <w:rFonts w:ascii="Times New Roman" w:hAnsi="Times New Roman"/>
          <w:b w:val="false"/>
          <w:i w:val="false"/>
          <w:color w:val="000000"/>
          <w:sz w:val="21"/>
        </w:rPr>
        <w:t xml:space="preserve"> (Notice ARC 8768C,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 xml:space="preserve">Effective date of Ch 2 delayed 70 days by the Administrative Rules Review Committee at its 4/14/87 meeting. Effective date delayed until the adjournment of the 1988 Session of the General Assembly pursuant to Iowa Code section </w:t>
      </w:r>
      <w:hyperlink r:id="rId37">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5/20/87 and 1/6/88 meetings.</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17.pdf" Type="http://schemas.openxmlformats.org/officeDocument/2006/relationships/hyperlink" Id="rId5"/>
    <Relationship TargetMode="External" Target="https://www.legis.iowa.gov/docs/iac/chapter/481.617.pdf" Type="http://schemas.openxmlformats.org/officeDocument/2006/relationships/hyperlink" Id="rId6"/>
    <Relationship TargetMode="External" Target="https://www.legis.iowa.gov/docs/iac/chapter/481.621.pdf" Type="http://schemas.openxmlformats.org/officeDocument/2006/relationships/hyperlink" Id="rId7"/>
    <Relationship TargetMode="External" Target="https://www.legis.iowa.gov/docs/iac/rule/481.616.10.pdf" Type="http://schemas.openxmlformats.org/officeDocument/2006/relationships/hyperlink" Id="rId8"/>
    <Relationship TargetMode="External" Target="https://www.legis.iowa.gov/docs/iac/rule/655.616.11.pdf" Type="http://schemas.openxmlformats.org/officeDocument/2006/relationships/hyperlink" Id="rId9"/>
    <Relationship TargetMode="External" Target="https://www.legis.iowa.gov/docs/iac/rule/481.616.4.pdf" Type="http://schemas.openxmlformats.org/officeDocument/2006/relationships/hyperlink" Id="rId10"/>
    <Relationship TargetMode="External" Target="https://www.legis.iowa.gov/docs/iac/rule/655.616.17.pdf" Type="http://schemas.openxmlformats.org/officeDocument/2006/relationships/hyperlink" Id="rId11"/>
    <Relationship TargetMode="External" Target="https://www.legis.iowa.gov/docs/iac/rule/481.616.8.pdf" Type="http://schemas.openxmlformats.org/officeDocument/2006/relationships/hyperlink" Id="rId12"/>
    <Relationship TargetMode="External" Target="https://www.legis.iowa.gov/docs/iac/rule/481.616.18.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co/chapter/261B.pdf" Type="http://schemas.openxmlformats.org/officeDocument/2006/relationships/hyperlink" Id="rId15"/>
    <Relationship TargetMode="External" Target="https://www.legis.iowa.gov/docs/ico/chapter/152.1.pdf" Type="http://schemas.openxmlformats.org/officeDocument/2006/relationships/hyperlink" Id="rId16"/>
    <Relationship TargetMode="External" Target="https://www.legis.iowa.gov/docs/iac/rule/655.616.10.pdf" Type="http://schemas.openxmlformats.org/officeDocument/2006/relationships/hyperlink" Id="rId17"/>
    <Relationship TargetMode="External" Target="https://www.legis.iowa.gov/docs/iac/rule/481.620.3.pdf" Type="http://schemas.openxmlformats.org/officeDocument/2006/relationships/hyperlink" Id="rId18"/>
    <Relationship TargetMode="External" Target="https://www.legis.iowa.gov/docs/iac/rule/481.620.6.pdf" Type="http://schemas.openxmlformats.org/officeDocument/2006/relationships/hyperlink" Id="rId19"/>
    <Relationship TargetMode="External" Target="https://www.legis.iowa.gov/docs/ico/chapter/152.1.pdf" Type="http://schemas.openxmlformats.org/officeDocument/2006/relationships/hyperlink" Id="rId20"/>
    <Relationship TargetMode="External" Target="https://www.legis.iowa.gov/docs/iac/rule/655.616.10.pdf" Type="http://schemas.openxmlformats.org/officeDocument/2006/relationships/hyperlink" Id="rId21"/>
    <Relationship TargetMode="External" Target="https://www.legis.iowa.gov/docs/iac/rule/481.620.2.pdf" Type="http://schemas.openxmlformats.org/officeDocument/2006/relationships/hyperlink" Id="rId22"/>
    <Relationship TargetMode="External" Target="https://www.legis.iowa.gov/docs/iac/rule/481.620.7.pdf" Type="http://schemas.openxmlformats.org/officeDocument/2006/relationships/hyperlink" Id="rId23"/>
    <Relationship TargetMode="External" Target="https://www.legis.iowa.gov/docs/iac/chapter/481.621.pdf" Type="http://schemas.openxmlformats.org/officeDocument/2006/relationships/hyperlink" Id="rId24"/>
    <Relationship TargetMode="External" Target="https://www.legis.iowa.gov/docs/iac/rule/655.616.11.pdf" Type="http://schemas.openxmlformats.org/officeDocument/2006/relationships/hyperlink" Id="rId25"/>
    <Relationship TargetMode="External" Target="https://www.legis.iowa.gov/docs/ico/chapter/152E.pdf" Type="http://schemas.openxmlformats.org/officeDocument/2006/relationships/hyperlink" Id="rId26"/>
    <Relationship TargetMode="External" Target="https://www.legis.iowa.gov/docs/iac/rule/655.2.11.pdf" Type="http://schemas.openxmlformats.org/officeDocument/2006/relationships/hyperlink" Id="rId27"/>
    <Relationship TargetMode="External" Target="https://www.legis.iowa.gov/docs/ico/chapter/152.5A.pdf" Type="http://schemas.openxmlformats.org/officeDocument/2006/relationships/hyperlink" Id="rId28"/>
    <Relationship TargetMode="External" Target="https://www.legis.iowa.gov/docs/ico/chapter/135C.33.pdf" Type="http://schemas.openxmlformats.org/officeDocument/2006/relationships/hyperlink" Id="rId29"/>
    <Relationship TargetMode="External" Target="https://www.legis.iowa.gov/docs/ico/chapter/152.5A.pdf" Type="http://schemas.openxmlformats.org/officeDocument/2006/relationships/hyperlink" Id="rId30"/>
    <Relationship TargetMode="External" Target="https://www.legis.iowa.gov/docs/ico/chapter/135C.33.pdf" Type="http://schemas.openxmlformats.org/officeDocument/2006/relationships/hyperlink" Id="rId31"/>
    <Relationship TargetMode="External" Target="https://www.legis.iowa.gov/docs/iac/rule/655.2.17.pdf" Type="http://schemas.openxmlformats.org/officeDocument/2006/relationships/hyperlink" Id="rId32"/>
    <Relationship TargetMode="External" Target="https://www.legis.iowa.gov/docs/iac/rule/481.616.9.pdf" Type="http://schemas.openxmlformats.org/officeDocument/2006/relationships/hyperlink" Id="rId33"/>
    <Relationship TargetMode="External" Target="https://www.legis.iowa.gov/docs/iac/rule/481.616.17.pdf" Type="http://schemas.openxmlformats.org/officeDocument/2006/relationships/hyperlink" Id="rId34"/>
    <Relationship TargetMode="External" Target="https://www.legis.iowa.gov/docs/ico/chapter/152.5.pdf" Type="http://schemas.openxmlformats.org/officeDocument/2006/relationships/hyperlink" Id="rId35"/>
    <Relationship TargetMode="External" Target="https://www.legis.iowa.gov/docs/ico/chapter/152E.pdf" Type="http://schemas.openxmlformats.org/officeDocument/2006/relationships/hyperlink" Id="rId36"/>
    <Relationship TargetMode="External" Target="https://www.legis.iowa.gov/docs/ico/chapter/17A.8.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