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w:t>
      </w:r>
    </w:p>
    <w:p>
      <w:pPr>
        <w:spacing w:before="0" w:after="0"/>
        <w:ind w:left="120"/>
        <w:jc w:val="center"/>
      </w:pPr>
      <w:r>
        <w:rPr>
          <w:rFonts w:ascii="Times New Roman" w:hAnsi="Times New Roman"/>
          <w:b w:val="false"/>
          <w:i w:val="false"/>
          <w:color w:val="000000"/>
          <w:sz w:val="21"/>
        </w:rPr>
        <w:t>MINIMUM PHYSICAL STANDARDS FOR NURSING FACILITIES</w:t>
      </w:r>
    </w:p>
    <w:p>
      <w:pPr>
        <w:spacing w:before="0" w:after="0"/>
        <w:ind w:left="120"/>
        <w:jc w:val="center"/>
      </w:pPr>
      <w:r>
        <w:rPr>
          <w:rFonts w:ascii="Times New Roman" w:hAnsi="Times New Roman"/>
          <w:b w:val="false"/>
          <w:i w:val="false"/>
          <w:color w:val="000000"/>
          <w:sz w:val="20"/>
        </w:rPr>
        <w:t>[Prior to 7/15/87, Health Department[470]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481—61.1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in rule </w:t>
      </w:r>
      <w:hyperlink r:id="rId5">
        <w:r>
          <w:rPr>
            <w:rStyle w:val="Hyperlink"/>
            <w:rFonts w:ascii="Times New Roman" w:hAnsi="Times New Roman"/>
            <w:b w:val="false"/>
            <w:i w:val="false"/>
            <w:color w:val="000000"/>
            <w:sz w:val="22"/>
          </w:rPr>
          <w:t>481—58.1</w:t>
        </w:r>
      </w:hyperlink>
      <w:r>
        <w:rPr>
          <w:rFonts w:ascii="Times New Roman" w:hAnsi="Times New Roman"/>
          <w:b w:val="false"/>
          <w:i w:val="false"/>
          <w:color w:val="000000"/>
          <w:sz w:val="22"/>
        </w:rPr>
        <w:t>(135C) are incorporated by reference as part of this chapter. In addition, the following definition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design professional”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registered architect or licensed professional engineer who signs the documents submitted pursuant to rule </w:t>
      </w:r>
      <w:hyperlink r:id="rId6">
        <w:r>
          <w:rPr>
            <w:rStyle w:val="Hyperlink"/>
            <w:rFonts w:ascii="Times New Roman" w:hAnsi="Times New Roman"/>
            <w:b w:val="false"/>
            <w:i w:val="false"/>
            <w:color w:val="000000"/>
            <w:sz w:val="22"/>
          </w:rPr>
          <w:t>481—61.3</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481—61.2</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Nursing facilities licensed under this chapter shall be built in accordance with the following construction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61.2(1)</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7">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Fire Safety Requirements for Hospitals and Health Care Facilities. Projects required to meet the provisions of the state building code shall be deemed to be in compliance with the fire safety requirements of the state building code if the project is in compliance with the provisions of </w:t>
      </w:r>
      <w:hyperlink r:id="rId8">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61.2(2)</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shall be in conformance with </w:t>
      </w:r>
      <w:hyperlink r:id="rId9">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State Building Code— General Provisions. Projects meeting the local building code shall be deemed to be in compliance with the state building code provided that the local jurisdiction has established a building department, has adopted a building code by ordinance and enforces the local code through a system which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61.2(3)</w:t>
      </w:r>
      <w:r>
        <w:rPr>
          <w:rFonts w:ascii="Times New Roman" w:hAnsi="Times New Roman"/>
          <w:b w:val="false"/>
          <w:i w:val="false"/>
          <w:color w:val="000000"/>
          <w:sz w:val="22"/>
        </w:rPr>
        <w:t> </w:t>
      </w:r>
      <w:r>
        <w:rPr>
          <w:rFonts w:ascii="Times New Roman" w:hAnsi="Times New Roman"/>
          <w:b w:val="false"/>
          <w:i w:val="false"/>
          <w:color w:val="000000"/>
          <w:sz w:val="22"/>
        </w:rPr>
        <w:t>Construction shall be in accordance with the standards set forth in the Guidelines for Design and Construction of Residential Health, Care, and Support Facilities,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61.2(4)</w:t>
      </w:r>
      <w:r>
        <w:rPr>
          <w:rFonts w:ascii="Times New Roman" w:hAnsi="Times New Roman"/>
          <w:b w:val="false"/>
          <w:i w:val="false"/>
          <w:color w:val="000000"/>
          <w:sz w:val="22"/>
        </w:rPr>
        <w:t> </w:t>
      </w:r>
      <w:r>
        <w:rPr>
          <w:rFonts w:ascii="Times New Roman" w:hAnsi="Times New Roman"/>
          <w:b w:val="false"/>
          <w:i w:val="false"/>
          <w:color w:val="000000"/>
          <w:sz w:val="22"/>
        </w:rPr>
        <w:t>Nothing in these rules shall relieve a nursing facility from compliance with fire and building codes, ordinances and regulations which are enforced by city, county, state or federal jurisdictions.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61.2(5)</w:t>
      </w:r>
      <w:r>
        <w:rPr>
          <w:rFonts w:ascii="Times New Roman" w:hAnsi="Times New Roman"/>
          <w:b w:val="false"/>
          <w:i w:val="false"/>
          <w:color w:val="000000"/>
          <w:sz w:val="22"/>
        </w:rPr>
        <w:t> </w:t>
      </w:r>
      <w:r>
        <w:rPr>
          <w:rFonts w:ascii="Times New Roman" w:hAnsi="Times New Roman"/>
          <w:b w:val="false"/>
          <w:i w:val="false"/>
          <w:color w:val="000000"/>
          <w:sz w:val="22"/>
        </w:rPr>
        <w:t>New equipment. Any alteration or installation of new equipment shall be accomplished as nearly as practical in conformance with all applicable codes, ordinances, regulations and standards required for new construction. Alteration or installation of new equipment shall not diminish the level of compliance with any codes, ordinances, regulations or standards below that which existed prior to the alteration. Any feature that does not meet the requirement for new buildings but exceeds the requirement for existing buildings shall not be further diminished. Features that exceed requirements for new construction need not be maintained. In no case shall any feature be less than that required for existing buildings.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61.2(6)</w:t>
      </w:r>
      <w:r>
        <w:rPr>
          <w:rFonts w:ascii="Times New Roman" w:hAnsi="Times New Roman"/>
          <w:b w:val="false"/>
          <w:i w:val="false"/>
          <w:color w:val="000000"/>
          <w:sz w:val="22"/>
        </w:rPr>
        <w:t> </w:t>
      </w:r>
      <w:r>
        <w:rPr>
          <w:rFonts w:ascii="Times New Roman" w:hAnsi="Times New Roman"/>
          <w:b w:val="false"/>
          <w:i w:val="false"/>
          <w:color w:val="000000"/>
          <w:sz w:val="22"/>
        </w:rPr>
        <w:t>Existing nursing facilities built in compliance with prior versions of this chapter will be deemed in compliance, with the exception of any renovations, additions, functional alterations, changes of space utilization, or conversions to existing facilities for which construction documents are submitted pursuant to rule 481—61.3(135C) on or after July 1, 2013, which shall meet the standards specified in this chapter. Conversion of a building or any of the parts not currently licensed as a nursing facility must meet the rules governing construction of new facilities, except as provided in Life Safety Code, 2000 edition, sections 18.1.1.4.4 and 19.1.1.4.4.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61.2(7)</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481—61.3</w:t>
      </w:r>
      <w:r>
        <w:rPr>
          <w:rFonts w:ascii="Times New Roman" w:hAnsi="Times New Roman"/>
          <w:b/>
          <w:i w:val="false"/>
          <w:color w:val="000000"/>
          <w:sz w:val="22"/>
        </w:rPr>
        <w:t xml:space="preserve">(135C) </w:t>
      </w:r>
      <w:r>
        <w:rPr>
          <w:rFonts w:ascii="Times New Roman" w:hAnsi="Times New Roman"/>
          <w:b/>
          <w:i w:val="false"/>
          <w:color w:val="000000"/>
          <w:sz w:val="22"/>
        </w:rPr>
        <w:t xml:space="preserve">Submission of construction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val="false"/>
          <w:color w:val="000000"/>
          <w:sz w:val="22"/>
        </w:rPr>
        <w:t xml:space="preserve">Submissions of architectural technical documents, engineering documents, and plans and specifications to the state fire marshal’s office shall be as required by rule </w:t>
      </w:r>
      <w:hyperlink r:id="rId10">
        <w:r>
          <w:rPr>
            <w:rStyle w:val="Hyperlink"/>
            <w:rFonts w:ascii="Times New Roman" w:hAnsi="Times New Roman"/>
            <w:b w:val="false"/>
            <w:i w:val="false"/>
            <w:color w:val="000000"/>
            <w:sz w:val="22"/>
          </w:rPr>
          <w:t>481—300.4</w:t>
        </w:r>
      </w:hyperlink>
      <w:r>
        <w:rPr>
          <w:rFonts w:ascii="Times New Roman" w:hAnsi="Times New Roman"/>
          <w:b w:val="false"/>
          <w:i w:val="false"/>
          <w:color w:val="000000"/>
          <w:sz w:val="22"/>
        </w:rPr>
        <w:t>(103A) and are the responsibility of the owner of the building or facility, although the actual submission may be completed by an authorized agent of the owner or the responsible design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specifications and other supporting information shall be sufficiently clear and complete to show in detail that the proposed work will comply with the construction standards required by rule </w:t>
      </w:r>
      <w:hyperlink r:id="rId11">
        <w:r>
          <w:rPr>
            <w:rStyle w:val="Hyperlink"/>
            <w:rFonts w:ascii="Times New Roman" w:hAnsi="Times New Roman"/>
            <w:b w:val="false"/>
            <w:i w:val="false"/>
            <w:color w:val="000000"/>
            <w:sz w:val="22"/>
          </w:rPr>
          <w:t>481—61.2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Submittals to the state fire marshal’s office shall be certified or stamped and signed as required by Iowa Code chapters </w:t>
      </w:r>
      <w:hyperlink r:id="rId12">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unless the applicant has certified on the submittal to the applicability of a specific exception under Iowa Code section </w:t>
      </w:r>
      <w:hyperlink r:id="rId14">
        <w:r>
          <w:rPr>
            <w:rStyle w:val="Hyperlink"/>
            <w:rFonts w:ascii="Times New Roman" w:hAnsi="Times New Roman"/>
            <w:b w:val="false"/>
            <w:i w:val="false"/>
            <w:color w:val="000000"/>
            <w:sz w:val="22"/>
          </w:rPr>
          <w:t>544A.18</w:t>
        </w:r>
      </w:hyperlink>
      <w:r>
        <w:rPr>
          <w:rFonts w:ascii="Times New Roman" w:hAnsi="Times New Roman"/>
          <w:b w:val="false"/>
          <w:i w:val="false"/>
          <w:color w:val="000000"/>
          <w:sz w:val="22"/>
        </w:rPr>
        <w:t xml:space="preserve"> and the submittal does not constitute the practice of engineering as defined by Iowa Code section </w:t>
      </w:r>
      <w:hyperlink r:id="rId15">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responsible design professional shall certify that the building plans meet the requirements specified in this chapter, unless a waiver has been granted pursuant to rule </w:t>
      </w:r>
      <w:hyperlink r:id="rId16">
        <w:r>
          <w:rPr>
            <w:rStyle w:val="Hyperlink"/>
            <w:rFonts w:ascii="Times New Roman" w:hAnsi="Times New Roman"/>
            <w:b w:val="false"/>
            <w:i w:val="false"/>
            <w:color w:val="000000"/>
            <w:sz w:val="22"/>
          </w:rPr>
          <w:t>481—61.4</w:t>
        </w:r>
      </w:hyperlink>
      <w:r>
        <w:rPr>
          <w:rFonts w:ascii="Times New Roman" w:hAnsi="Times New Roman"/>
          <w:b w:val="false"/>
          <w:i w:val="false"/>
          <w:color w:val="000000"/>
          <w:sz w:val="22"/>
        </w:rPr>
        <w:t>(135C).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481—61.4</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61.4(1)</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in rule </w:t>
      </w:r>
      <w:hyperlink r:id="rId17">
        <w:r>
          <w:rPr>
            <w:rStyle w:val="Hyperlink"/>
            <w:rFonts w:ascii="Times New Roman" w:hAnsi="Times New Roman"/>
            <w:b w:val="false"/>
            <w:i w:val="false"/>
            <w:color w:val="000000"/>
            <w:sz w:val="22"/>
          </w:rPr>
          <w:t>481—58.2</w:t>
        </w:r>
      </w:hyperlink>
      <w:r>
        <w:rPr>
          <w:rFonts w:ascii="Times New Roman" w:hAnsi="Times New Roman"/>
          <w:b w:val="false"/>
          <w:i w:val="false"/>
          <w:color w:val="000000"/>
          <w:sz w:val="22"/>
        </w:rPr>
        <w:t>(135C) for requesting a waiver are incorporated by reference as part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61.4(2)</w:t>
      </w:r>
      <w:r>
        <w:rPr>
          <w:rFonts w:ascii="Times New Roman" w:hAnsi="Times New Roman"/>
          <w:b w:val="false"/>
          <w:i w:val="false"/>
          <w:color w:val="000000"/>
          <w:sz w:val="22"/>
        </w:rPr>
        <w:t> </w:t>
      </w:r>
      <w:r>
        <w:rPr>
          <w:rFonts w:ascii="Times New Roman" w:hAnsi="Times New Roman"/>
          <w:b w:val="false"/>
          <w:i w:val="false"/>
          <w:color w:val="000000"/>
          <w:sz w:val="22"/>
        </w:rPr>
        <w:t>Certain resident populations, conditions in the area, or the site may justify waivers. In specific cases, waivers to the rules may be granted by the director after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design and planning for the specific property shall offer improved or compensating features which provide equivalent desirability and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Alternate or special construction methods, techniques, and mechanical equipment shall offer equivalent durability, utility, safety, structural strength and rigidity, sanitation, odor control, protection from corrosion, decay and insect attack, and quality of workmanship;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health, safety or welfare of any resident shall not be endangered;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Variations are limited to the specific project under consideration and shall not be construed as establishing a precedent for similar acceptance in other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occupancy and function of the building shall be considered;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type of licensure shall be considered.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481—61.5</w:t>
      </w:r>
      <w:r>
        <w:rPr>
          <w:rFonts w:ascii="Times New Roman" w:hAnsi="Times New Roman"/>
          <w:b/>
          <w:i w:val="false"/>
          <w:color w:val="000000"/>
          <w:sz w:val="22"/>
        </w:rPr>
        <w:t xml:space="preserve">(135C) </w:t>
      </w:r>
      <w:r>
        <w:rPr>
          <w:rFonts w:ascii="Times New Roman" w:hAnsi="Times New Roman"/>
          <w:b/>
          <w:i w:val="false"/>
          <w:color w:val="000000"/>
          <w:sz w:val="22"/>
        </w:rPr>
        <w:t xml:space="preserve">Additional notification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When new construction or renovation, addition, functional alteration, change of space utilization, or conversion of an existing building is contemplated, the licensee or applicant for a license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 detailed and comprehensive program of care, as set forth in rule </w:t>
      </w:r>
      <w:hyperlink r:id="rId18">
        <w:r>
          <w:rPr>
            <w:rStyle w:val="Hyperlink"/>
            <w:rFonts w:ascii="Times New Roman" w:hAnsi="Times New Roman"/>
            <w:b w:val="false"/>
            <w:i w:val="false"/>
            <w:color w:val="000000"/>
            <w:sz w:val="22"/>
          </w:rPr>
          <w:t>481—58.3</w:t>
        </w:r>
      </w:hyperlink>
      <w:r>
        <w:rPr>
          <w:rFonts w:ascii="Times New Roman" w:hAnsi="Times New Roman"/>
          <w:b w:val="false"/>
          <w:i w:val="false"/>
          <w:color w:val="000000"/>
          <w:sz w:val="22"/>
        </w:rPr>
        <w:t>(135C), which includes a description of the specific needs of the residents to be served, and any other information the department may require.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Receive written approval from the state fire marshal’s office before starting construction. The applicant is responsible for ensuring that construction proceeds according to approved plans and specifications. If construction is not started within 12 months of the date of final approval of the working drawings and specifications, the approval shall be void and the plans and specifications shall be resubmitted. Multiphase projects shall be completed within a time period approved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requirements for new construction if the project includes changes to structural and life safety components of the building or changes for accessibility of persons with disabilities. Only that portion of the building that is part of the project must meet requirements for 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new construction or renovations, additions, functional alterations, change of space utilization or conversion of an existing building, it is the responsibility of the owner or an agent to notify the state fire marshal’s office at all of the following intervals and wait for inspection before proceeding. Inspections shall be conducted in accordance with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days prior to the beginning of any construction or demolition.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After installation of any under-slab plumbing and before covering is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After installation of electrical, mechanical and plumbing and prior to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Five days prior to a final occupancy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must approve the project before final occupancy: the state fire inspector, the state building inspector and, in jurisdictions without electrical code enforcement, the state electrical inspector. Approval of local or county jurisdictions is as required by those jurisdictions.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481—61.6</w:t>
      </w:r>
      <w:r>
        <w:rPr>
          <w:rFonts w:ascii="Times New Roman" w:hAnsi="Times New Roman"/>
          <w:b/>
          <w:i w:val="false"/>
          <w:color w:val="000000"/>
          <w:sz w:val="22"/>
        </w:rPr>
        <w:t xml:space="preserve">(135C) </w:t>
      </w:r>
      <w:r>
        <w:rPr>
          <w:rFonts w:ascii="Times New Roman" w:hAnsi="Times New Roman"/>
          <w:b/>
          <w:i w:val="false"/>
          <w:color w:val="000000"/>
          <w:sz w:val="22"/>
        </w:rPr>
        <w:t xml:space="preserve">Construction requirements. </w:t>
      </w:r>
      <w:r>
        <w:rPr>
          <w:rFonts w:ascii="Times New Roman" w:hAnsi="Times New Roman"/>
          <w:b w:val="false"/>
          <w:i w:val="false"/>
          <w:color w:val="000000"/>
          <w:sz w:val="22"/>
        </w:rPr>
        <w:t>This rule contains construction requirements for all areas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19">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xml:space="preserve">, Fire Safety Requirements for Hospitals and Health Care Facilities. Projects required to meet the provisions of the state building code shall be deemed to be in compliance with the fire safety requirements of the state building code if the nursing facility is in compliance with the provisions of </w:t>
      </w:r>
      <w:hyperlink r:id="rId20">
        <w:r>
          <w:rPr>
            <w:rStyle w:val="Hyperlink"/>
            <w:rFonts w:ascii="Times New Roman" w:hAnsi="Times New Roman"/>
            <w:b w:val="false"/>
            <w:i w:val="false"/>
            <w:color w:val="000000"/>
            <w:sz w:val="22"/>
          </w:rPr>
          <w:t>661—Chapter 205</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1">
        <w:r>
          <w:rPr>
            <w:rStyle w:val="Hyperlink"/>
            <w:rFonts w:ascii="Times New Roman" w:hAnsi="Times New Roman"/>
            <w:b w:val="false"/>
            <w:i w:val="false"/>
            <w:color w:val="000000"/>
            <w:sz w:val="22"/>
          </w:rPr>
          <w:t>661—Chapter 301</w:t>
        </w:r>
      </w:hyperlink>
      <w:r>
        <w:rPr>
          <w:rFonts w:ascii="Times New Roman" w:hAnsi="Times New Roman"/>
          <w:b w:val="false"/>
          <w:i w:val="false"/>
          <w:color w:val="000000"/>
          <w:sz w:val="22"/>
        </w:rPr>
        <w:t xml:space="preserve">, State Building Code—General Provisions. Projects meeting the local building code shall be deemed to be in compliance with the state building code provided that the local jurisdiction has established a building department, has adopted a building code by ordinance and enforces the local code through a system which includes both plan review and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Projects shall be constructed in compliance with the standards set forth in the Guidelines for Design and Construction of Residential Health, Care, and Support Facilities, 2018 edition, published by the Facility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61.6(2)</w:t>
      </w:r>
      <w:r>
        <w:rPr>
          <w:rFonts w:ascii="Times New Roman" w:hAnsi="Times New Roman"/>
          <w:b w:val="false"/>
          <w:i w:val="false"/>
          <w:color w:val="000000"/>
          <w:sz w:val="22"/>
        </w:rPr>
        <w:t> </w:t>
      </w:r>
      <w:r>
        <w:rPr>
          <w:rFonts w:ascii="Times New Roman" w:hAnsi="Times New Roman"/>
          <w:b w:val="false"/>
          <w:i/>
          <w:color w:val="000000"/>
          <w:sz w:val="22"/>
        </w:rPr>
        <w:t xml:space="preserve">Mechanical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w:t>
      </w:r>
      <w:hyperlink r:id="rId22">
        <w:r>
          <w:rPr>
            <w:rStyle w:val="Hyperlink"/>
            <w:rFonts w:ascii="Times New Roman" w:hAnsi="Times New Roman"/>
            <w:b w:val="false"/>
            <w:i w:val="false"/>
            <w:color w:val="000000"/>
            <w:sz w:val="22"/>
          </w:rPr>
          <w:t>481—Chapter 280</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mechanical code as provided in rule </w:t>
      </w:r>
      <w:hyperlink r:id="rId23">
        <w:r>
          <w:rPr>
            <w:rStyle w:val="Hyperlink"/>
            <w:rFonts w:ascii="Times New Roman" w:hAnsi="Times New Roman"/>
            <w:b w:val="false"/>
            <w:i w:val="false"/>
            <w:color w:val="000000"/>
            <w:sz w:val="22"/>
          </w:rPr>
          <w:t>481—301.4(103A)</w:t>
        </w:r>
      </w:hyperlink>
      <w:r>
        <w:rPr>
          <w:rFonts w:ascii="Times New Roman" w:hAnsi="Times New Roman"/>
          <w:b w:val="false"/>
          <w:i w:val="false"/>
          <w:color w:val="000000"/>
          <w:sz w:val="22"/>
        </w:rPr>
        <w:t>. Projects meeting the local mechanical code shall be deemed to be in compliance with the state mechanical code provided that the local jurisdiction has established a building department, has adopted a building code by ordinance and enforces the local code through a system which includes both plan review and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plan approval and final occupancy shall be given by the state fire marshal’s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61.6(3)</w:t>
      </w:r>
      <w:r>
        <w:rPr>
          <w:rFonts w:ascii="Times New Roman" w:hAnsi="Times New Roman"/>
          <w:b w:val="false"/>
          <w:i w:val="false"/>
          <w:color w:val="000000"/>
          <w:sz w:val="22"/>
        </w:rPr>
        <w:t> </w:t>
      </w:r>
      <w:r>
        <w:rPr>
          <w:rFonts w:ascii="Times New Roman" w:hAnsi="Times New Roman"/>
          <w:b w:val="false"/>
          <w:i/>
          <w:color w:val="000000"/>
          <w:sz w:val="22"/>
        </w:rPr>
        <w:t xml:space="preserve">Electrical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standards referenced in </w:t>
      </w:r>
      <w:hyperlink r:id="rId24">
        <w:r>
          <w:rPr>
            <w:rStyle w:val="Hyperlink"/>
            <w:rFonts w:ascii="Times New Roman" w:hAnsi="Times New Roman"/>
            <w:b w:val="false"/>
            <w:i w:val="false"/>
            <w:color w:val="000000"/>
            <w:sz w:val="22"/>
          </w:rPr>
          <w:t>481—Chapter 280</w:t>
        </w:r>
      </w:hyperlink>
      <w:r>
        <w:rPr>
          <w:rFonts w:ascii="Times New Roman" w:hAnsi="Times New Roman"/>
          <w:b w:val="false"/>
          <w:i w:val="false"/>
          <w:color w:val="000000"/>
          <w:sz w:val="22"/>
        </w:rPr>
        <w:t>, Fire Safety Requirements for Hospitals and Health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shall be constructed in compliance with the state electrical code as provided in rule </w:t>
      </w:r>
      <w:hyperlink r:id="rId25">
        <w:r>
          <w:rPr>
            <w:rStyle w:val="Hyperlink"/>
            <w:rFonts w:ascii="Times New Roman" w:hAnsi="Times New Roman"/>
            <w:b w:val="false"/>
            <w:i w:val="false"/>
            <w:color w:val="000000"/>
            <w:sz w:val="22"/>
          </w:rPr>
          <w:t>481—301.5</w:t>
        </w:r>
      </w:hyperlink>
      <w:r>
        <w:rPr>
          <w:rFonts w:ascii="Times New Roman" w:hAnsi="Times New Roman"/>
          <w:b w:val="false"/>
          <w:i w:val="false"/>
          <w:color w:val="000000"/>
          <w:sz w:val="22"/>
        </w:rPr>
        <w:t xml:space="preserve">(103A).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61.6(4)</w:t>
      </w:r>
      <w:r>
        <w:rPr>
          <w:rFonts w:ascii="Times New Roman" w:hAnsi="Times New Roman"/>
          <w:b w:val="false"/>
          <w:i w:val="false"/>
          <w:color w:val="000000"/>
          <w:sz w:val="22"/>
        </w:rPr>
        <w:t> </w:t>
      </w:r>
      <w:r>
        <w:rPr>
          <w:rFonts w:ascii="Times New Roman" w:hAnsi="Times New Roman"/>
          <w:b w:val="false"/>
          <w:i/>
          <w:color w:val="000000"/>
          <w:sz w:val="22"/>
        </w:rPr>
        <w:t xml:space="preserve">Plumbing requirements. </w:t>
      </w:r>
      <w:r>
        <w:rPr>
          <w:rFonts w:ascii="Times New Roman" w:hAnsi="Times New Roman"/>
          <w:b w:val="false"/>
          <w:i w:val="false"/>
          <w:color w:val="000000"/>
          <w:sz w:val="22"/>
        </w:rPr>
        <w:t xml:space="preserve">Projects shall be constructed in compliance with </w:t>
      </w:r>
      <w:hyperlink r:id="rId26">
        <w:r>
          <w:rPr>
            <w:rStyle w:val="Hyperlink"/>
            <w:rFonts w:ascii="Times New Roman" w:hAnsi="Times New Roman"/>
            <w:b w:val="false"/>
            <w:i w:val="false"/>
            <w:color w:val="000000"/>
            <w:sz w:val="22"/>
          </w:rPr>
          <w:t>481—Chapter 425</w:t>
        </w:r>
      </w:hyperlink>
      <w:r>
        <w:rPr>
          <w:rFonts w:ascii="Times New Roman" w:hAnsi="Times New Roman"/>
          <w:b w:val="false"/>
          <w:i w:val="false"/>
          <w:color w:val="000000"/>
          <w:sz w:val="22"/>
        </w:rPr>
        <w:t>, State Plumbing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61.6(5)</w:t>
      </w:r>
      <w:r>
        <w:rPr>
          <w:rFonts w:ascii="Times New Roman" w:hAnsi="Times New Roman"/>
          <w:b w:val="false"/>
          <w:i w:val="false"/>
          <w:color w:val="000000"/>
          <w:sz w:val="22"/>
        </w:rPr>
        <w:t> </w:t>
      </w:r>
      <w:r>
        <w:rPr>
          <w:rFonts w:ascii="Times New Roman" w:hAnsi="Times New Roman"/>
          <w:b w:val="false"/>
          <w:i/>
          <w:color w:val="000000"/>
          <w:sz w:val="22"/>
        </w:rPr>
        <w:t xml:space="preserve">Accessibility requirements. </w:t>
      </w:r>
      <w:r>
        <w:rPr>
          <w:rFonts w:ascii="Times New Roman" w:hAnsi="Times New Roman"/>
          <w:b w:val="false"/>
          <w:i w:val="false"/>
          <w:color w:val="000000"/>
          <w:sz w:val="22"/>
        </w:rPr>
        <w:t xml:space="preserve">Projects shall be constructed in compliance with </w:t>
      </w:r>
      <w:hyperlink r:id="rId27">
        <w:r>
          <w:rPr>
            <w:rStyle w:val="Hyperlink"/>
            <w:rFonts w:ascii="Times New Roman" w:hAnsi="Times New Roman"/>
            <w:b w:val="false"/>
            <w:i w:val="false"/>
            <w:color w:val="000000"/>
            <w:sz w:val="22"/>
          </w:rPr>
          <w:t>661—Chapter 302</w:t>
        </w:r>
      </w:hyperlink>
      <w:r>
        <w:rPr>
          <w:rFonts w:ascii="Times New Roman" w:hAnsi="Times New Roman"/>
          <w:b w:val="false"/>
          <w:i w:val="false"/>
          <w:color w:val="000000"/>
          <w:sz w:val="22"/>
        </w:rPr>
        <w:t>, State Building Code—Accessibility of Buildings and Facilities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61.6(6)</w:t>
      </w:r>
      <w:r>
        <w:rPr>
          <w:rFonts w:ascii="Times New Roman" w:hAnsi="Times New Roman"/>
          <w:b w:val="false"/>
          <w:i w:val="false"/>
          <w:color w:val="000000"/>
          <w:sz w:val="22"/>
        </w:rPr>
        <w:t> </w:t>
      </w:r>
      <w:r>
        <w:rPr>
          <w:rFonts w:ascii="Times New Roman" w:hAnsi="Times New Roman"/>
          <w:b w:val="false"/>
          <w:i/>
          <w:color w:val="000000"/>
          <w:sz w:val="22"/>
        </w:rPr>
        <w:t xml:space="preserve">Lighting requirements. </w:t>
      </w:r>
      <w:r>
        <w:rPr>
          <w:rFonts w:ascii="Times New Roman" w:hAnsi="Times New Roman"/>
          <w:b w:val="false"/>
          <w:i w:val="false"/>
          <w:color w:val="000000"/>
          <w:sz w:val="22"/>
        </w:rPr>
        <w:t>Light shall be provided in the areas of the building as required in the Guidelines for Design and Construction of Residential Health, Care, and Support Facilities, 2018 edition, published by the Facilities Guidelines Institute.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61.6(7)</w:t>
      </w:r>
      <w:r>
        <w:rPr>
          <w:rFonts w:ascii="Times New Roman" w:hAnsi="Times New Roman"/>
          <w:b w:val="false"/>
          <w:i w:val="false"/>
          <w:color w:val="000000"/>
          <w:sz w:val="22"/>
        </w:rPr>
        <w:t> </w:t>
      </w:r>
      <w:r>
        <w:rPr>
          <w:rFonts w:ascii="Times New Roman" w:hAnsi="Times New Roman"/>
          <w:b w:val="false"/>
          <w:i/>
          <w:color w:val="000000"/>
          <w:sz w:val="22"/>
        </w:rPr>
        <w:t xml:space="preserve">Exit door alarm system. </w:t>
      </w:r>
      <w:r>
        <w:rPr>
          <w:rFonts w:ascii="Times New Roman" w:hAnsi="Times New Roman"/>
          <w:b w:val="false"/>
          <w:i w:val="false"/>
          <w:color w:val="000000"/>
          <w:sz w:val="22"/>
        </w:rPr>
        <w:t>An exit door alarm system shall be installed on all exterior doors.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481—61.7</w:t>
      </w:r>
      <w:r>
        <w:rPr>
          <w:rFonts w:ascii="Times New Roman" w:hAnsi="Times New Roman"/>
          <w:b/>
          <w:i w:val="false"/>
          <w:color w:val="000000"/>
          <w:sz w:val="22"/>
        </w:rPr>
        <w:t xml:space="preserve">(135C) </w:t>
      </w:r>
      <w:r>
        <w:rPr>
          <w:rFonts w:ascii="Times New Roman" w:hAnsi="Times New Roman"/>
          <w:b/>
          <w:i w:val="false"/>
          <w:color w:val="000000"/>
          <w:sz w:val="22"/>
        </w:rPr>
        <w:t xml:space="preserve">Nursing care unit.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61.7(1)</w:t>
      </w:r>
      <w:r>
        <w:rPr>
          <w:rFonts w:ascii="Times New Roman" w:hAnsi="Times New Roman"/>
          <w:b w:val="false"/>
          <w:i w:val="false"/>
          <w:color w:val="000000"/>
          <w:sz w:val="22"/>
        </w:rPr>
        <w:t> </w:t>
      </w:r>
      <w:r>
        <w:rPr>
          <w:rFonts w:ascii="Times New Roman" w:hAnsi="Times New Roman"/>
          <w:b w:val="false"/>
          <w:i w:val="false"/>
          <w:color w:val="000000"/>
          <w:sz w:val="22"/>
        </w:rPr>
        <w:t>A seclusion room may be used in an intermediate care facility for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61.7(2)</w:t>
      </w:r>
      <w:r>
        <w:rPr>
          <w:rFonts w:ascii="Times New Roman" w:hAnsi="Times New Roman"/>
          <w:b w:val="false"/>
          <w:i w:val="false"/>
          <w:color w:val="000000"/>
          <w:sz w:val="22"/>
        </w:rPr>
        <w:t> </w:t>
      </w:r>
      <w:r>
        <w:rPr>
          <w:rFonts w:ascii="Times New Roman" w:hAnsi="Times New Roman"/>
          <w:b w:val="false"/>
          <w:i w:val="false"/>
          <w:color w:val="000000"/>
          <w:sz w:val="22"/>
        </w:rPr>
        <w:t>When a seclusion room is used, it must meet the following standards. A seclusion room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located where direct care staff can provide direct supervision;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only one door which swings out but does not swing into a corridor;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only locking devices that are approved by the state fire marshal;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unbreakable, fire-safe vision panels arranged to permit observation of the resident. The arrangement shall ensure resident privacy and prevent casual observation by visitors or other residents;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House only one resident at a time;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Have an area of at least 60 square feet, but not more than 100 square feet;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constructed to protect against the possibility of hiding, escape, injury and suicide;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construction of the room area, including floor, walls, ceilings, and all openings, approved in writing by the state fire marshal prior to construction or alteration of a room. Padding materials, if used, shall be approved in writing by the state fire marshal;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Contain only vandal- and tamper-resistant fixtures and hardware;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Contain no electrical receptacles;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Contain an exhaust ventilation system with a fan located at the discharge end of the system, with exhaust discharging to the outside;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Have electrical switches for the light and exhaust ventilation systems installed outside the room;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Have an emergency call system for staff located outside the room near the observation window;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Be built with materials that are easily maintained and sanitized.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481—61.8</w:t>
      </w:r>
      <w:r>
        <w:rPr>
          <w:rFonts w:ascii="Times New Roman" w:hAnsi="Times New Roman"/>
          <w:b/>
          <w:i w:val="false"/>
          <w:color w:val="000000"/>
          <w:sz w:val="22"/>
        </w:rPr>
        <w:t xml:space="preserve">(135C) </w:t>
      </w:r>
      <w:r>
        <w:rPr>
          <w:rFonts w:ascii="Times New Roman" w:hAnsi="Times New Roman"/>
          <w:b/>
          <w:i w:val="false"/>
          <w:color w:val="000000"/>
          <w:sz w:val="22"/>
        </w:rPr>
        <w:t xml:space="preserve">Dietetic and other service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61.8(1)</w:t>
      </w:r>
      <w:r>
        <w:rPr>
          <w:rFonts w:ascii="Times New Roman" w:hAnsi="Times New Roman"/>
          <w:b w:val="false"/>
          <w:i w:val="false"/>
          <w:color w:val="000000"/>
          <w:sz w:val="22"/>
        </w:rPr>
        <w:t> </w:t>
      </w:r>
      <w:r>
        <w:rPr>
          <w:rFonts w:ascii="Times New Roman" w:hAnsi="Times New Roman"/>
          <w:b w:val="false"/>
          <w:i/>
          <w:color w:val="000000"/>
          <w:sz w:val="22"/>
        </w:rPr>
        <w:t xml:space="preserve">Dietetic service area. </w:t>
      </w:r>
      <w:r>
        <w:rPr>
          <w:rFonts w:ascii="Times New Roman" w:hAnsi="Times New Roman"/>
          <w:b w:val="false"/>
          <w:i w:val="false"/>
          <w:color w:val="000000"/>
          <w:sz w:val="22"/>
        </w:rPr>
        <w:t xml:space="preserve">The construction and installation of equipment of the dietetic service area shall comply with the requirements of the Food and Drug Administration Food Code adopted under provisions of Iowa Code section </w:t>
      </w:r>
      <w:hyperlink r:id="rId28">
        <w:r>
          <w:rPr>
            <w:rStyle w:val="Hyperlink"/>
            <w:rFonts w:ascii="Times New Roman" w:hAnsi="Times New Roman"/>
            <w:b w:val="false"/>
            <w:i w:val="false"/>
            <w:color w:val="000000"/>
            <w:sz w:val="22"/>
          </w:rPr>
          <w:t>137F.2</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61.8(2)</w:t>
      </w:r>
      <w:r>
        <w:rPr>
          <w:rFonts w:ascii="Times New Roman" w:hAnsi="Times New Roman"/>
          <w:b w:val="false"/>
          <w:i w:val="false"/>
          <w:color w:val="000000"/>
          <w:sz w:val="22"/>
        </w:rPr>
        <w:t> </w:t>
      </w:r>
      <w:r>
        <w:rPr>
          <w:rFonts w:ascii="Times New Roman" w:hAnsi="Times New Roman"/>
          <w:b w:val="false"/>
          <w:i/>
          <w:color w:val="000000"/>
          <w:sz w:val="22"/>
        </w:rPr>
        <w:t xml:space="preserve">General storage areas. </w:t>
      </w:r>
      <w:r>
        <w:rPr>
          <w:rFonts w:ascii="Times New Roman" w:hAnsi="Times New Roman"/>
          <w:b w:val="false"/>
          <w:i w:val="false"/>
          <w:color w:val="000000"/>
          <w:sz w:val="22"/>
        </w:rPr>
        <w:t>General storage areas totaling not less than 14 square feet per bed shall be provided. If each resident has a 4-foot wide closet in the bedroom, the general storage area per bed may be reduced from 14 square feet to 10 square feet per bed. Storage areas are not required to be located in only one room.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Storage areas for linens, janitor’s supplies, sterile nursing supplies, activities supplies, library books, office supplies, kitchen supplies and mechanical plant accessories shall not be included as part of the general storage area and are not required to be located in the same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percent of the general storage area may be provided in a building outside the facility if the building is easily accessible to personnel.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481—61.9</w:t>
      </w:r>
      <w:r>
        <w:rPr>
          <w:rFonts w:ascii="Times New Roman" w:hAnsi="Times New Roman"/>
          <w:b/>
          <w:i w:val="false"/>
          <w:color w:val="000000"/>
          <w:sz w:val="22"/>
        </w:rPr>
        <w:t xml:space="preserve">(135C) </w:t>
      </w:r>
      <w:r>
        <w:rPr>
          <w:rFonts w:ascii="Times New Roman" w:hAnsi="Times New Roman"/>
          <w:b/>
          <w:i w:val="false"/>
          <w:color w:val="000000"/>
          <w:sz w:val="22"/>
        </w:rPr>
        <w:t xml:space="preserve">Specialized unit or facility for persons with chronic confusion or a dementing illness (CCDI unit or facility). </w:t>
      </w:r>
      <w:r>
        <w:rPr>
          <w:rFonts w:ascii="Times New Roman" w:hAnsi="Times New Roman"/>
          <w:b w:val="false"/>
          <w:i w:val="false"/>
          <w:color w:val="000000"/>
          <w:sz w:val="22"/>
        </w:rPr>
        <w:t>A CCDI unit or facility shall be designed in accordance with the standards set forth in the Guidelines for Design and Construction of Residential Health, Care, and Support Facilities, 2018 edition, published by the Facility Guidelines Institute. The following provisions shall also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61.9(1)</w:t>
      </w:r>
      <w:r>
        <w:rPr>
          <w:rFonts w:ascii="Times New Roman" w:hAnsi="Times New Roman"/>
          <w:b w:val="false"/>
          <w:i w:val="false"/>
          <w:color w:val="000000"/>
          <w:sz w:val="22"/>
        </w:rPr>
        <w:t> </w:t>
      </w:r>
      <w:r>
        <w:rPr>
          <w:rFonts w:ascii="Times New Roman" w:hAnsi="Times New Roman"/>
          <w:b w:val="false"/>
          <w:i w:val="false"/>
          <w:color w:val="000000"/>
          <w:sz w:val="22"/>
        </w:rPr>
        <w:t>A CCDI unit or facility shall be designed so that residents, staff and visitors will not pass through the unit in order to reach exits or other areas of the facility unless in an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61.9(2)</w:t>
      </w:r>
      <w:r>
        <w:rPr>
          <w:rFonts w:ascii="Times New Roman" w:hAnsi="Times New Roman"/>
          <w:b w:val="false"/>
          <w:i w:val="false"/>
          <w:color w:val="000000"/>
          <w:sz w:val="22"/>
        </w:rPr>
        <w:t> </w:t>
      </w:r>
      <w:r>
        <w:rPr>
          <w:rFonts w:ascii="Times New Roman" w:hAnsi="Times New Roman"/>
          <w:b w:val="false"/>
          <w:i w:val="false"/>
          <w:color w:val="000000"/>
          <w:sz w:val="22"/>
        </w:rPr>
        <w:t>If the unit or facility is to be a locked unit or facility, all locking devices shall meet the requirements of the state fire marshal. If the unit or facility is to be unlocked, a system of security monitoring is required.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61.9(3)</w:t>
      </w:r>
      <w:r>
        <w:rPr>
          <w:rFonts w:ascii="Times New Roman" w:hAnsi="Times New Roman"/>
          <w:b w:val="false"/>
          <w:i w:val="false"/>
          <w:color w:val="000000"/>
          <w:sz w:val="22"/>
        </w:rPr>
        <w:t> </w:t>
      </w:r>
      <w:r>
        <w:rPr>
          <w:rFonts w:ascii="Times New Roman" w:hAnsi="Times New Roman"/>
          <w:b w:val="false"/>
          <w:i w:val="false"/>
          <w:color w:val="000000"/>
          <w:sz w:val="22"/>
        </w:rPr>
        <w:t>The outdoor activity area for the unit or facility shall be secure. Nontoxic plants shall be used in the secured outdoor activity area.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61.9(4)</w:t>
      </w:r>
      <w:r>
        <w:rPr>
          <w:rFonts w:ascii="Times New Roman" w:hAnsi="Times New Roman"/>
          <w:b w:val="false"/>
          <w:i w:val="false"/>
          <w:color w:val="000000"/>
          <w:sz w:val="22"/>
        </w:rPr>
        <w:t> </w:t>
      </w:r>
      <w:r>
        <w:rPr>
          <w:rFonts w:ascii="Times New Roman" w:hAnsi="Times New Roman"/>
          <w:b w:val="false"/>
          <w:i w:val="false"/>
          <w:color w:val="000000"/>
          <w:sz w:val="22"/>
        </w:rPr>
        <w:t>There shall be no steps inside the CCDI unit or freestanding CCDI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61.9(5)</w:t>
      </w:r>
      <w:r>
        <w:rPr>
          <w:rFonts w:ascii="Times New Roman" w:hAnsi="Times New Roman"/>
          <w:b w:val="false"/>
          <w:i w:val="false"/>
          <w:color w:val="000000"/>
          <w:sz w:val="22"/>
        </w:rPr>
        <w:t> </w:t>
      </w:r>
      <w:r>
        <w:rPr>
          <w:rFonts w:ascii="Times New Roman" w:hAnsi="Times New Roman"/>
          <w:b w:val="false"/>
          <w:i w:val="false"/>
          <w:color w:val="000000"/>
          <w:sz w:val="22"/>
        </w:rPr>
        <w:t>Dining and activity areas for the unit or facility shall be located within the unit or facility and shall not be used as the primary dining or activity area by other facility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61.9(6)</w:t>
      </w:r>
      <w:r>
        <w:rPr>
          <w:rFonts w:ascii="Times New Roman" w:hAnsi="Times New Roman"/>
          <w:b w:val="false"/>
          <w:i w:val="false"/>
          <w:color w:val="000000"/>
          <w:sz w:val="22"/>
        </w:rPr>
        <w:t> </w:t>
      </w:r>
      <w:r>
        <w:rPr>
          <w:rFonts w:ascii="Times New Roman" w:hAnsi="Times New Roman"/>
          <w:b w:val="false"/>
          <w:i w:val="false"/>
          <w:color w:val="000000"/>
          <w:sz w:val="22"/>
        </w:rPr>
        <w:t>An area shall be provided to allow nurses to prepare daily resident reports.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61.9(7)</w:t>
      </w:r>
      <w:r>
        <w:rPr>
          <w:rFonts w:ascii="Times New Roman" w:hAnsi="Times New Roman"/>
          <w:b w:val="false"/>
          <w:i w:val="false"/>
          <w:color w:val="000000"/>
          <w:sz w:val="22"/>
        </w:rPr>
        <w:t> </w:t>
      </w:r>
      <w:r>
        <w:rPr>
          <w:rFonts w:ascii="Times New Roman" w:hAnsi="Times New Roman"/>
          <w:b w:val="false"/>
          <w:i w:val="false"/>
          <w:color w:val="000000"/>
          <w:sz w:val="22"/>
        </w:rPr>
        <w:t>If the lounge and activity areas are not adjacent to resident rooms, there shall be in clear view of the lounge and activity area one unisex resident toilet room for each ten residents.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0763C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4264C</w:t>
      </w:r>
      <w:r>
        <w:rPr>
          <w:rFonts w:ascii="Times New Roman" w:hAnsi="Times New Roman"/>
          <w:b w:val="false"/>
          <w:i w:val="false"/>
          <w:color w:val="000000"/>
          <w:sz w:val="16"/>
        </w:rPr>
        <w:t>, IAB 1/30/19, effective 3/6/19</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9">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8/6/76, Notice 4/19/76—published 8/23/76, effective 9/27/76]</w:t>
      </w:r>
    </w:p>
    <w:p>
      <w:pPr>
        <w:spacing w:before="0" w:after="0"/>
        <w:ind w:left="120"/>
        <w:jc w:val="center"/>
      </w:pPr>
      <w:r>
        <w:rPr>
          <w:rFonts w:ascii="Times New Roman" w:hAnsi="Times New Roman"/>
          <w:b w:val="false"/>
          <w:i w:val="false"/>
          <w:color w:val="000000"/>
          <w:sz w:val="21"/>
        </w:rPr>
        <w:t>[Filed without Notice 10/4/76—published 10/20/76, effective 11/24/76]</w:t>
      </w:r>
    </w:p>
    <w:p>
      <w:pPr>
        <w:spacing w:before="0" w:after="0"/>
        <w:ind w:left="120"/>
        <w:jc w:val="center"/>
      </w:pPr>
      <w:r>
        <w:rPr>
          <w:rFonts w:ascii="Times New Roman" w:hAnsi="Times New Roman"/>
          <w:b w:val="false"/>
          <w:i w:val="false"/>
          <w:color w:val="000000"/>
          <w:sz w:val="21"/>
        </w:rPr>
        <w:t>[Filed emergency 12/21/76—published 1/12/77, effective 1/12/77]</w:t>
      </w:r>
    </w:p>
    <w:p>
      <w:pPr>
        <w:spacing w:before="0" w:after="0"/>
        <w:ind w:left="120"/>
        <w:jc w:val="center"/>
      </w:pPr>
      <w:r>
        <w:rPr>
          <w:rFonts w:ascii="Times New Roman" w:hAnsi="Times New Roman"/>
          <w:b w:val="false"/>
          <w:i w:val="false"/>
          <w:color w:val="000000"/>
          <w:sz w:val="21"/>
        </w:rPr>
        <w:t>[Filed 8/18/77, Notice 3/9/77—published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emergency 6/25/87—published 7/15/87, effective 6/25/87]</w:t>
      </w:r>
    </w:p>
    <w:p>
      <w:pPr>
        <w:spacing w:before="0" w:after="0"/>
        <w:ind w:left="120"/>
        <w:jc w:val="center"/>
      </w:pPr>
      <w:r>
        <w:rPr>
          <w:rFonts w:ascii="Times New Roman" w:hAnsi="Times New Roman"/>
          <w:b w:val="false"/>
          <w:i w:val="false"/>
          <w:color w:val="000000"/>
          <w:sz w:val="21"/>
        </w:rPr>
        <w:t>[Filed 9/28/90, Notice 5/16/90—published 10/17/90, effective 11/21/90]</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1/15/93, Notice 11/25/92—published 2/3/93, effective 3/10/93]</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7/17/03, Notice 6/11/03—published 8/6/03, effective 9/10/03]</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3/21/07, Notice 2/14/07—published 4/11/07, effective 5/16/07]</w:t>
      </w:r>
    </w:p>
    <w:p>
      <w:pPr>
        <w:spacing w:before="0" w:after="0"/>
        <w:ind w:left="120"/>
        <w:jc w:val="center"/>
      </w:pPr>
      <w:r>
        <w:rPr>
          <w:rFonts w:ascii="Times New Roman" w:hAnsi="Times New Roman"/>
          <w:b w:val="false"/>
          <w:i w:val="false"/>
          <w:color w:val="000000"/>
          <w:sz w:val="21"/>
        </w:rPr>
        <w:t>[Filed ARC 8189B</w:t>
      </w:r>
      <w:r>
        <w:rPr>
          <w:rFonts w:ascii="Times New Roman" w:hAnsi="Times New Roman"/>
          <w:b w:val="false"/>
          <w:i w:val="false"/>
          <w:color w:val="000000"/>
          <w:sz w:val="21"/>
        </w:rPr>
        <w:t xml:space="preserve"> (Notice ARC 7989B, IAB 7/29/09)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0763C</w:t>
      </w:r>
      <w:r>
        <w:rPr>
          <w:rFonts w:ascii="Times New Roman" w:hAnsi="Times New Roman"/>
          <w:b w:val="false"/>
          <w:i w:val="false"/>
          <w:color w:val="000000"/>
          <w:sz w:val="21"/>
        </w:rPr>
        <w:t xml:space="preserve"> (Notice ARC 0514C, IAB 12/12/12)</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4264C</w:t>
      </w:r>
      <w:r>
        <w:rPr>
          <w:rFonts w:ascii="Times New Roman" w:hAnsi="Times New Roman"/>
          <w:b w:val="false"/>
          <w:i w:val="false"/>
          <w:color w:val="000000"/>
          <w:sz w:val="21"/>
        </w:rPr>
        <w:t xml:space="preserve"> (Notice ARC 4162C, IAB 12/5/18)</w:t>
      </w:r>
      <w:r>
        <w:rPr>
          <w:rFonts w:ascii="Times New Roman" w:hAnsi="Times New Roman"/>
          <w:b w:val="false"/>
          <w:i w:val="false"/>
          <w:color w:val="000000"/>
          <w:sz w:val="21"/>
        </w:rPr>
        <w:t>, IAB 1/30/19, effective 3/6/19]</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[Editorial change: IAC Supplement 4/2/25]</w:t>
      </w:r>
    </w:p>
    <w:p>
      <w:pPr>
        <w:spacing w:before="0" w:after="0"/>
        <w:ind w:left="120"/>
        <w:jc w:val="center"/>
      </w:pPr>
      <w:r>
        <w:rPr>
          <w:rFonts w:ascii="Times New Roman" w:hAnsi="Times New Roman"/>
          <w:b w:val="false"/>
          <w:i w:val="false"/>
          <w:color w:val="000000"/>
          <w:sz w:val="21"/>
        </w:rPr>
        <w:t>[Editorial change: IAC Supplement 8/5/26]</w:t>
      </w:r>
    </w:p>
    <w:sectPr>
      <w:footerReference r:id="rId3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8.1.pdf" Type="http://schemas.openxmlformats.org/officeDocument/2006/relationships/hyperlink" Id="rId5"/>
    <Relationship TargetMode="External" Target="https://www.legis.iowa.gov/docs/iac/rule/481.61.3.pdf" Type="http://schemas.openxmlformats.org/officeDocument/2006/relationships/hyperlink" Id="rId6"/>
    <Relationship TargetMode="External" Target="https://www.legis.iowa.gov/docs/iac/chapter/661.205.pdf" Type="http://schemas.openxmlformats.org/officeDocument/2006/relationships/hyperlink" Id="rId7"/>
    <Relationship TargetMode="External" Target="https://www.legis.iowa.gov/docs/iac/chapter/661.205.pdf" Type="http://schemas.openxmlformats.org/officeDocument/2006/relationships/hyperlink" Id="rId8"/>
    <Relationship TargetMode="External" Target="https://www.legis.iowa.gov/docs/iac/chapter/661.301.pdf" Type="http://schemas.openxmlformats.org/officeDocument/2006/relationships/hyperlink" Id="rId9"/>
    <Relationship TargetMode="External" Target="https://www.legis.iowa.gov/docs/iac/rule/481.300.4.pdf" Type="http://schemas.openxmlformats.org/officeDocument/2006/relationships/hyperlink" Id="rId10"/>
    <Relationship TargetMode="External" Target="https://www.legis.iowa.gov/docs/iac/rule/481.61.2.pdf" Type="http://schemas.openxmlformats.org/officeDocument/2006/relationships/hyperlink" Id="rId11"/>
    <Relationship TargetMode="External" Target="https://www.legis.iowa.gov/docs/ico/chapter/542B.pdf" Type="http://schemas.openxmlformats.org/officeDocument/2006/relationships/hyperlink" Id="rId12"/>
    <Relationship TargetMode="External" Target="https://www.legis.iowa.gov/docs/ico/chapter/544A.pdf" Type="http://schemas.openxmlformats.org/officeDocument/2006/relationships/hyperlink" Id="rId13"/>
    <Relationship TargetMode="External" Target="https://www.legis.iowa.gov/docs/ico/chapter/544A.18.pdf" Type="http://schemas.openxmlformats.org/officeDocument/2006/relationships/hyperlink" Id="rId14"/>
    <Relationship TargetMode="External" Target="https://www.legis.iowa.gov/docs/ico/chapter/542B.2.pdf" Type="http://schemas.openxmlformats.org/officeDocument/2006/relationships/hyperlink" Id="rId15"/>
    <Relationship TargetMode="External" Target="https://www.legis.iowa.gov/docs/iac/rule/481.61.4.pdf" Type="http://schemas.openxmlformats.org/officeDocument/2006/relationships/hyperlink" Id="rId16"/>
    <Relationship TargetMode="External" Target="https://www.legis.iowa.gov/docs/iac/rule/481.58.2.pdf" Type="http://schemas.openxmlformats.org/officeDocument/2006/relationships/hyperlink" Id="rId17"/>
    <Relationship TargetMode="External" Target="https://www.legis.iowa.gov/docs/iac/rule/481.58.3.pdf" Type="http://schemas.openxmlformats.org/officeDocument/2006/relationships/hyperlink" Id="rId18"/>
    <Relationship TargetMode="External" Target="https://www.legis.iowa.gov/docs/iac/chapter/661.205.pdf" Type="http://schemas.openxmlformats.org/officeDocument/2006/relationships/hyperlink" Id="rId19"/>
    <Relationship TargetMode="External" Target="https://www.legis.iowa.gov/docs/iac/chapter/661.205.pdf" Type="http://schemas.openxmlformats.org/officeDocument/2006/relationships/hyperlink" Id="rId20"/>
    <Relationship TargetMode="External" Target="https://www.legis.iowa.gov/docs/iac/chapter/661.301.pdf" Type="http://schemas.openxmlformats.org/officeDocument/2006/relationships/hyperlink" Id="rId21"/>
    <Relationship TargetMode="External" Target="https://www.legis.iowa.gov/docs/iac/chapter/481.280.pdf" Type="http://schemas.openxmlformats.org/officeDocument/2006/relationships/hyperlink" Id="rId22"/>
    <Relationship TargetMode="External" Target="https://www.legis.iowa.gov/docs/iac/rule/481.301.4.pdf" Type="http://schemas.openxmlformats.org/officeDocument/2006/relationships/hyperlink" Id="rId23"/>
    <Relationship TargetMode="External" Target="https://www.legis.iowa.gov/docs/iac/chapter/481.280.pdf" Type="http://schemas.openxmlformats.org/officeDocument/2006/relationships/hyperlink" Id="rId24"/>
    <Relationship TargetMode="External" Target="https://www.legis.iowa.gov/docs/iac/rule/481.301.5.pdf" Type="http://schemas.openxmlformats.org/officeDocument/2006/relationships/hyperlink" Id="rId25"/>
    <Relationship TargetMode="External" Target="https://www.legis.iowa.gov/docs/iac/chapter/481.425.pdf" Type="http://schemas.openxmlformats.org/officeDocument/2006/relationships/hyperlink" Id="rId26"/>
    <Relationship TargetMode="External" Target="https://www.legis.iowa.gov/docs/iac/chapter/661.302.pdf" Type="http://schemas.openxmlformats.org/officeDocument/2006/relationships/hyperlink" Id="rId27"/>
    <Relationship TargetMode="External" Target="https://www.legis.iowa.gov/docs/ico/chapter/137F.2.pdf" Type="http://schemas.openxmlformats.org/officeDocument/2006/relationships/hyperlink" Id="rId28"/>
    <Relationship TargetMode="External" Target="https://www.legis.iowa.gov/docs/ico/chapter/135C.14.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