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580</w:t>
      </w:r>
    </w:p>
    <w:p>
      <w:pPr>
        <w:spacing w:before="0" w:after="0"/>
        <w:ind w:left="120"/>
        <w:jc w:val="center"/>
      </w:pPr>
      <w:r>
        <w:rPr>
          <w:rFonts w:ascii="Times New Roman" w:hAnsi="Times New Roman"/>
          <w:b w:val="false"/>
          <w:i w:val="false"/>
          <w:color w:val="000000"/>
          <w:sz w:val="21"/>
        </w:rPr>
        <w:t>DENTAL BOARD COMPLAINTS AND INVESTIGATIONS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481—580.1</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Complaint review. </w:t>
      </w:r>
      <w:r>
        <w:rPr>
          <w:rFonts w:ascii="Times New Roman" w:hAnsi="Times New Roman"/>
          <w:b w:val="false"/>
          <w:i w:val="false"/>
          <w:color w:val="000000"/>
          <w:sz w:val="22"/>
        </w:rPr>
        <w:t xml:space="preserve">Pursuant to Iowa Code sections </w:t>
      </w:r>
      <w:hyperlink r:id="rId5">
        <w:r>
          <w:rPr>
            <w:rStyle w:val="Hyperlink"/>
            <w:rFonts w:ascii="Times New Roman" w:hAnsi="Times New Roman"/>
            <w:b w:val="false"/>
            <w:i w:val="false"/>
            <w:color w:val="000000"/>
            <w:sz w:val="22"/>
          </w:rPr>
          <w:t>147.87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 xml:space="preserve">, the board shall, upon receipt of a complaint or upon its own motion, review and investigate alleged acts or omissions that the board reasonably believes constitute cause under applicable law or administrative rule for licensee or registrant discipline. Pursuant to Iowa Code section </w:t>
      </w:r>
      <w:hyperlink r:id="rId9">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 all complaints regarding the practice of dental hygiene will be initially directed to the dental hygiene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481—580.2</w:t>
      </w:r>
      <w:r>
        <w:rPr>
          <w:rFonts w:ascii="Times New Roman" w:hAnsi="Times New Roman"/>
          <w:b/>
          <w:i w:val="false"/>
          <w:color w:val="000000"/>
          <w:sz w:val="22"/>
        </w:rPr>
        <w:t xml:space="preserve">(153) </w:t>
      </w:r>
      <w:r>
        <w:rPr>
          <w:rFonts w:ascii="Times New Roman" w:hAnsi="Times New Roman"/>
          <w:b/>
          <w:i w:val="false"/>
          <w:color w:val="000000"/>
          <w:sz w:val="22"/>
        </w:rPr>
        <w:t xml:space="preserve">Form, content and submission of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580.2(1)</w:t>
      </w:r>
      <w:r>
        <w:rPr>
          <w:rFonts w:ascii="Times New Roman" w:hAnsi="Times New Roman"/>
          <w:b w:val="false"/>
          <w:i w:val="false"/>
          <w:color w:val="000000"/>
          <w:sz w:val="22"/>
        </w:rPr>
        <w:t> </w:t>
      </w:r>
      <w:r>
        <w:rPr>
          <w:rFonts w:ascii="Times New Roman" w:hAnsi="Times New Roman"/>
          <w:b w:val="false"/>
          <w:i w:val="false"/>
          <w:color w:val="000000"/>
          <w:sz w:val="22"/>
        </w:rPr>
        <w:t>Complaints should be filed with department staff associated with the board. Complaints may be filed via the board’s online database or via complaint form by email, by fax, by mail, or in person. Contact information for the board is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580.2(2)</w:t>
      </w:r>
      <w:r>
        <w:rPr>
          <w:rFonts w:ascii="Times New Roman" w:hAnsi="Times New Roman"/>
          <w:b w:val="false"/>
          <w:i w:val="false"/>
          <w:color w:val="000000"/>
          <w:sz w:val="22"/>
        </w:rPr>
        <w:t> </w:t>
      </w:r>
      <w:r>
        <w:rPr>
          <w:rFonts w:ascii="Times New Roman" w:hAnsi="Times New Roman"/>
          <w:b w:val="false"/>
          <w:i w:val="false"/>
          <w:color w:val="000000"/>
          <w:sz w:val="22"/>
        </w:rPr>
        <w:t>A written complaint should include the following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and contact information of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or contact information of the licensee or registrant against whom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facts concerning the alleged acts or omissions.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481—580.3</w:t>
      </w:r>
      <w:r>
        <w:rPr>
          <w:rFonts w:ascii="Times New Roman" w:hAnsi="Times New Roman"/>
          <w:b/>
          <w:i w:val="false"/>
          <w:color w:val="000000"/>
          <w:sz w:val="22"/>
        </w:rPr>
        <w:t xml:space="preserve">(153) </w:t>
      </w:r>
      <w:r>
        <w:rPr>
          <w:rFonts w:ascii="Times New Roman" w:hAnsi="Times New Roman"/>
          <w:b/>
          <w:i w:val="false"/>
          <w:color w:val="000000"/>
          <w:sz w:val="22"/>
        </w:rPr>
        <w:t xml:space="preserve">Investigation. </w:t>
      </w:r>
      <w:r>
        <w:rPr>
          <w:rFonts w:ascii="Times New Roman" w:hAnsi="Times New Roman"/>
          <w:b w:val="false"/>
          <w:i w:val="false"/>
          <w:color w:val="000000"/>
          <w:sz w:val="22"/>
        </w:rPr>
        <w:t xml:space="preserve">Pursuant to Iowa Code sections </w:t>
      </w:r>
      <w:hyperlink r:id="rId10">
        <w:r>
          <w:rPr>
            <w:rStyle w:val="Hyperlink"/>
            <w:rFonts w:ascii="Times New Roman" w:hAnsi="Times New Roman"/>
            <w:b w:val="false"/>
            <w:i w:val="false"/>
            <w:color w:val="000000"/>
            <w:sz w:val="22"/>
          </w:rPr>
          <w:t>147.87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147.88</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 the board may authorize department staff to investigate the allegations of a complaint to determine whether probable cause exists.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481—580.4</w:t>
      </w:r>
      <w:r>
        <w:rPr>
          <w:rFonts w:ascii="Times New Roman" w:hAnsi="Times New Roman"/>
          <w:b/>
          <w:i w:val="false"/>
          <w:color w:val="000000"/>
          <w:sz w:val="22"/>
        </w:rPr>
        <w:t xml:space="preserve">(17A,153,272C) </w:t>
      </w:r>
      <w:r>
        <w:rPr>
          <w:rFonts w:ascii="Times New Roman" w:hAnsi="Times New Roman"/>
          <w:b/>
          <w:i w:val="false"/>
          <w:color w:val="000000"/>
          <w:sz w:val="22"/>
        </w:rPr>
        <w:t xml:space="preserve">Investigatory subpoenas. </w:t>
      </w:r>
      <w:r>
        <w:rPr>
          <w:rFonts w:ascii="Times New Roman" w:hAnsi="Times New Roman"/>
          <w:b w:val="false"/>
          <w:i w:val="false"/>
          <w:color w:val="000000"/>
          <w:sz w:val="22"/>
        </w:rPr>
        <w:t xml:space="preserve">Pursuant to Iowa Code sections </w:t>
      </w:r>
      <w:hyperlink r:id="rId15">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153.33(3)</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xml:space="preserve">, the board has the authority to issue an investigatory subpoena to compel the production of evidence deemed necessary in connection with the investigation of a complaint. A subpoena issued by the board in connection with such investigation may compel the production of evidence whether or not it is privileged or confidential under law. The board may not compel the types of evidence stipulated in Iowa Code section </w:t>
      </w:r>
      <w:hyperlink r:id="rId18">
        <w:r>
          <w:rPr>
            <w:rStyle w:val="Hyperlink"/>
            <w:rFonts w:ascii="Times New Roman" w:hAnsi="Times New Roman"/>
            <w:b w:val="false"/>
            <w:i w:val="false"/>
            <w:color w:val="000000"/>
            <w:sz w:val="22"/>
          </w:rPr>
          <w:t>272C.6(3)</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or designee may, upon the written request of a board investigator or on the director’s own initiative, issue a subpoena in accordance with Iowa Code sections </w:t>
      </w:r>
      <w:hyperlink r:id="rId19">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153.33(3)</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In the case of a subpoena, when seeking access to mental health records, all of the following conditions shall be satisfied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580.4(2)</w:t>
      </w:r>
      <w:r>
        <w:rPr>
          <w:rFonts w:ascii="Times New Roman" w:hAnsi="Times New Roman"/>
          <w:b w:val="false"/>
          <w:i w:val="false"/>
          <w:color w:val="000000"/>
          <w:sz w:val="22"/>
        </w:rPr>
        <w:t> </w:t>
      </w:r>
      <w:r>
        <w:rPr>
          <w:rFonts w:ascii="Times New Roman" w:hAnsi="Times New Roman"/>
          <w:b w:val="false"/>
          <w:i w:val="false"/>
          <w:color w:val="000000"/>
          <w:sz w:val="22"/>
        </w:rPr>
        <w:t>A written request for a subpoena or the director’s written memorandum in support of the issuance of a subpoena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documents sought to be subpoenaed are necessary for the board to determine whether it should initiate a contested case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subrule </w:t>
      </w:r>
      <w:hyperlink r:id="rId22">
        <w:r>
          <w:rPr>
            <w:rStyle w:val="Hyperlink"/>
            <w:rFonts w:ascii="Times New Roman" w:hAnsi="Times New Roman"/>
            <w:b w:val="false"/>
            <w:i w:val="false"/>
            <w:color w:val="000000"/>
            <w:sz w:val="22"/>
          </w:rPr>
          <w:t>580.4(1)</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580.4(3)</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contact information of the executive director or designee who issued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580.4(4)</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580.4(5)</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may conduct a hearing on the matter and issue a decision, or refer such hearing and decision to an administrative law judge to conduct a hearing and issue a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Oral argument may be scheduled at the discretion of the board or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the conclusion of such hearing, the board or administrative law judge shall issue a decision.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580.4(6)</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that ruling must appeal the ruling to the board by serving a notice of appeal within ten days of the date of service of the decision of the administrative law judge on the executive director, either in person or by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580.4(7)</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the person is notified the investigation has been concluded with no formal action or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481—580.5</w:t>
      </w:r>
      <w:r>
        <w:rPr>
          <w:rFonts w:ascii="Times New Roman" w:hAnsi="Times New Roman"/>
          <w:b/>
          <w:i w:val="false"/>
          <w:color w:val="000000"/>
          <w:sz w:val="22"/>
        </w:rPr>
        <w:t xml:space="preserve">(153) </w:t>
      </w:r>
      <w:r>
        <w:rPr>
          <w:rFonts w:ascii="Times New Roman" w:hAnsi="Times New Roman"/>
          <w:b/>
          <w:i w:val="false"/>
          <w:color w:val="000000"/>
          <w:sz w:val="22"/>
        </w:rPr>
        <w:t xml:space="preserve">Board appearances. </w:t>
      </w:r>
      <w:r>
        <w:rPr>
          <w:rFonts w:ascii="Times New Roman" w:hAnsi="Times New Roman"/>
          <w:b w:val="false"/>
          <w:i w:val="false"/>
          <w:color w:val="000000"/>
          <w:sz w:val="22"/>
        </w:rPr>
        <w:t>The board may request a licensee or registrant to appear before the board to discuss a pending investigation. By electing to participate in the board appearance, the licensee or registrant waives any objection to a board member’s both participating in the appearance and later participating as a decision maker in a contested case proceeding on the grounds of a personal investigation and a combination of investigative and adjudicative functions. If the executive director or designee participates in the appearance, the licensee or registrant further waives any objection to having the executive director or designee assist the board in the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481—580.6</w:t>
      </w:r>
      <w:r>
        <w:rPr>
          <w:rFonts w:ascii="Times New Roman" w:hAnsi="Times New Roman"/>
          <w:b/>
          <w:i w:val="false"/>
          <w:color w:val="000000"/>
          <w:sz w:val="22"/>
        </w:rPr>
        <w:t xml:space="preserve">(153) </w:t>
      </w:r>
      <w:r>
        <w:rPr>
          <w:rFonts w:ascii="Times New Roman" w:hAnsi="Times New Roman"/>
          <w:b/>
          <w:i w:val="false"/>
          <w:color w:val="000000"/>
          <w:sz w:val="22"/>
        </w:rPr>
        <w:t xml:space="preserve">Peer review. </w:t>
      </w:r>
      <w:r>
        <w:rPr>
          <w:rFonts w:ascii="Times New Roman" w:hAnsi="Times New Roman"/>
          <w:b w:val="false"/>
          <w:i w:val="false"/>
          <w:color w:val="000000"/>
          <w:sz w:val="22"/>
        </w:rPr>
        <w:t xml:space="preserve">Pursuant to Iowa Code section </w:t>
      </w:r>
      <w:hyperlink r:id="rId23">
        <w:r>
          <w:rPr>
            <w:rStyle w:val="Hyperlink"/>
            <w:rFonts w:ascii="Times New Roman" w:hAnsi="Times New Roman"/>
            <w:b w:val="false"/>
            <w:i w:val="false"/>
            <w:color w:val="000000"/>
            <w:sz w:val="22"/>
          </w:rPr>
          <w:t>272C.3(1)</w:t>
        </w:r>
      </w:hyperlink>
      <w:r>
        <w:rPr>
          <w:rFonts w:ascii="Times New Roman" w:hAnsi="Times New Roman"/>
          <w:b w:val="false"/>
          <w:i/>
          <w:color w:val="000000"/>
          <w:sz w:val="22"/>
        </w:rPr>
        <w:t>“i,”</w:t>
      </w:r>
      <w:r>
        <w:rPr>
          <w:rFonts w:ascii="Times New Roman" w:hAnsi="Times New Roman"/>
          <w:b w:val="false"/>
          <w:i w:val="false"/>
          <w:color w:val="000000"/>
          <w:sz w:val="22"/>
        </w:rPr>
        <w:t xml:space="preserve"> the board may refer a complaint for peer review, investigation and report by another licensee, another registrant or a committee established by the board for such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580.6(1)</w:t>
      </w:r>
      <w:r>
        <w:rPr>
          <w:rFonts w:ascii="Times New Roman" w:hAnsi="Times New Roman"/>
          <w:b w:val="false"/>
          <w:i w:val="false"/>
          <w:color w:val="000000"/>
          <w:sz w:val="22"/>
        </w:rPr>
        <w:t> </w:t>
      </w:r>
      <w:r>
        <w:rPr>
          <w:rFonts w:ascii="Times New Roman" w:hAnsi="Times New Roman"/>
          <w:b w:val="false"/>
          <w:i w:val="false"/>
          <w:color w:val="000000"/>
          <w:sz w:val="22"/>
        </w:rPr>
        <w:t>The board shall determine which licensee, registrant, or peer review committee will review a case involving a dentist or dental assistant. The dental hygiene committee shall make such determinations in a case involving a dental hygienist. Peer reports and recommendations will be forwarded to the dental hygiene committee for further review and decision making.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580.6(2)</w:t>
      </w:r>
      <w:r>
        <w:rPr>
          <w:rFonts w:ascii="Times New Roman" w:hAnsi="Times New Roman"/>
          <w:b w:val="false"/>
          <w:i w:val="false"/>
          <w:color w:val="000000"/>
          <w:sz w:val="22"/>
        </w:rPr>
        <w:t> </w:t>
      </w:r>
      <w:r>
        <w:rPr>
          <w:rFonts w:ascii="Times New Roman" w:hAnsi="Times New Roman"/>
          <w:b w:val="false"/>
          <w:i w:val="false"/>
          <w:color w:val="000000"/>
          <w:sz w:val="22"/>
        </w:rPr>
        <w:t>The board or dental hygiene committee may request that the Iowa dental association, the Iowa dental hygienists’ association and the Iowa dental assistants association assist in the composition of a peer review committee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580.6(3)</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sections </w:t>
      </w:r>
      <w:hyperlink r:id="rId24">
        <w:r>
          <w:rPr>
            <w:rStyle w:val="Hyperlink"/>
            <w:rFonts w:ascii="Times New Roman" w:hAnsi="Times New Roman"/>
            <w:b w:val="false"/>
            <w:i w:val="false"/>
            <w:color w:val="000000"/>
            <w:sz w:val="22"/>
          </w:rPr>
          <w:t>147.135</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 xml:space="preserve"> and rule </w:t>
      </w:r>
      <w:hyperlink r:id="rId27">
        <w:r>
          <w:rPr>
            <w:rStyle w:val="Hyperlink"/>
            <w:rFonts w:ascii="Times New Roman" w:hAnsi="Times New Roman"/>
            <w:b w:val="false"/>
            <w:i w:val="false"/>
            <w:color w:val="000000"/>
            <w:sz w:val="22"/>
          </w:rPr>
          <w:t>481—580.11</w:t>
        </w:r>
      </w:hyperlink>
      <w:r>
        <w:rPr>
          <w:rFonts w:ascii="Times New Roman" w:hAnsi="Times New Roman"/>
          <w:b w:val="false"/>
          <w:i w:val="false"/>
          <w:color w:val="000000"/>
          <w:sz w:val="22"/>
        </w:rPr>
        <w:t>(147,272C), licensees or registrants who serve as peer reviewers shall not be liable for acts, omissions or decisions made in connection with such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481—580.7</w:t>
      </w:r>
      <w:r>
        <w:rPr>
          <w:rFonts w:ascii="Times New Roman" w:hAnsi="Times New Roman"/>
          <w:b/>
          <w:i w:val="false"/>
          <w:color w:val="000000"/>
          <w:sz w:val="22"/>
        </w:rPr>
        <w:t xml:space="preserve">(272C) </w:t>
      </w:r>
      <w:r>
        <w:rPr>
          <w:rFonts w:ascii="Times New Roman" w:hAnsi="Times New Roman"/>
          <w:b/>
          <w:i w:val="false"/>
          <w:color w:val="000000"/>
          <w:sz w:val="22"/>
        </w:rPr>
        <w:t xml:space="preserve">Duties of peer review committees.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580.7(1)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or registrant who serves as a peer reviewer shall comply with the requirements imposed by Iowa Code sections </w:t>
      </w:r>
      <w:hyperlink r:id="rId2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and rule </w:t>
      </w:r>
      <w:hyperlink r:id="rId30">
        <w:r>
          <w:rPr>
            <w:rStyle w:val="Hyperlink"/>
            <w:rFonts w:ascii="Times New Roman" w:hAnsi="Times New Roman"/>
            <w:b w:val="false"/>
            <w:i w:val="false"/>
            <w:color w:val="000000"/>
            <w:sz w:val="22"/>
          </w:rPr>
          <w:t>481—580.9</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580.7(2)</w:t>
      </w:r>
      <w:r>
        <w:rPr>
          <w:rFonts w:ascii="Times New Roman" w:hAnsi="Times New Roman"/>
          <w:b w:val="false"/>
          <w:i w:val="false"/>
          <w:color w:val="000000"/>
          <w:sz w:val="22"/>
        </w:rPr>
        <w:t> </w:t>
      </w:r>
      <w:r>
        <w:rPr>
          <w:rFonts w:ascii="Times New Roman" w:hAnsi="Times New Roman"/>
          <w:b w:val="false"/>
          <w:i w:val="false"/>
          <w:color w:val="000000"/>
          <w:sz w:val="22"/>
        </w:rPr>
        <w:t>The board may provide investigative and related services to designated peer reviewers.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580.7(3)</w:t>
      </w:r>
      <w:r>
        <w:rPr>
          <w:rFonts w:ascii="Times New Roman" w:hAnsi="Times New Roman"/>
          <w:b w:val="false"/>
          <w:i w:val="false"/>
          <w:color w:val="000000"/>
          <w:sz w:val="22"/>
        </w:rPr>
        <w:t> </w:t>
      </w:r>
      <w:r>
        <w:rPr>
          <w:rFonts w:ascii="Times New Roman" w:hAnsi="Times New Roman"/>
          <w:b w:val="false"/>
          <w:i w:val="false"/>
          <w:color w:val="000000"/>
          <w:sz w:val="22"/>
        </w:rPr>
        <w:t>Designated peer reviewers shall thoroughly investigate a complaint as assigned and provide a written report to the board in accordance with the board’s direction. The peer review shall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a peer review report that contains a statement of facts and a recommendation as to whether a violation of the standard of care occurred, with consideration given to relevant statutes, board rules, ethical standards and standards of care in making its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in the report the signature of each peer reviewer that participated in the investigation. In the case of dissension by a peer reviewer, the dissension should be noted in the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the peer review report and all investigative information to the board upon completion.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481—580.8</w:t>
      </w:r>
      <w:r>
        <w:rPr>
          <w:rFonts w:ascii="Times New Roman" w:hAnsi="Times New Roman"/>
          <w:b/>
          <w:i w:val="false"/>
          <w:color w:val="000000"/>
          <w:sz w:val="22"/>
        </w:rPr>
        <w:t xml:space="preserve">(272C) </w:t>
      </w:r>
      <w:r>
        <w:rPr>
          <w:rFonts w:ascii="Times New Roman" w:hAnsi="Times New Roman"/>
          <w:b/>
          <w:i w:val="false"/>
          <w:color w:val="000000"/>
          <w:sz w:val="22"/>
        </w:rPr>
        <w:t xml:space="preserve">Board review. </w:t>
      </w:r>
      <w:r>
        <w:rPr>
          <w:rFonts w:ascii="Times New Roman" w:hAnsi="Times New Roman"/>
          <w:b w:val="false"/>
          <w:i w:val="false"/>
          <w:color w:val="000000"/>
          <w:sz w:val="22"/>
        </w:rPr>
        <w:t xml:space="preserve">The board shall review all investigative reports and proceed pursuant to </w:t>
      </w:r>
      <w:hyperlink r:id="rId31">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481—580.9</w:t>
      </w:r>
      <w:r>
        <w:rPr>
          <w:rFonts w:ascii="Times New Roman" w:hAnsi="Times New Roman"/>
          <w:b/>
          <w:i w:val="false"/>
          <w:color w:val="000000"/>
          <w:sz w:val="22"/>
        </w:rPr>
        <w:t xml:space="preserve">(272C) </w:t>
      </w:r>
      <w:r>
        <w:rPr>
          <w:rFonts w:ascii="Times New Roman" w:hAnsi="Times New Roman"/>
          <w:b/>
          <w:i w:val="false"/>
          <w:color w:val="000000"/>
          <w:sz w:val="22"/>
        </w:rPr>
        <w:t xml:space="preserve">Confidentiality of investigative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580.9(1)</w:t>
      </w:r>
      <w:r>
        <w:rPr>
          <w:rFonts w:ascii="Times New Roman" w:hAnsi="Times New Roman"/>
          <w:b w:val="false"/>
          <w:i w:val="false"/>
          <w:color w:val="000000"/>
          <w:sz w:val="22"/>
        </w:rPr>
        <w:t> </w:t>
      </w:r>
      <w:r>
        <w:rPr>
          <w:rFonts w:ascii="Times New Roman" w:hAnsi="Times New Roman"/>
          <w:b w:val="false"/>
          <w:i w:val="false"/>
          <w:color w:val="000000"/>
          <w:sz w:val="22"/>
        </w:rPr>
        <w:t>Complaint and investigation files, all other investigation reports and all other information in the possession of the board or peer reviewers acting under the authority of the board, its employees or its agents that relate to licensee or registrant discipline shall be subject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privileged and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Are not subject to discovery, subpoena, or other means of legal compulsion for their release to any person other than the licensee or registrant and the board, its employees and its agents that are involved in licensee or registrant discipline;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Are not admissible in evidence in any judicial or administrative proceeding other than the proceeding involving licensee or registrant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580.9(2)</w:t>
      </w:r>
      <w:r>
        <w:rPr>
          <w:rFonts w:ascii="Times New Roman" w:hAnsi="Times New Roman"/>
          <w:b w:val="false"/>
          <w:i w:val="false"/>
          <w:color w:val="000000"/>
          <w:sz w:val="22"/>
        </w:rPr>
        <w:t> </w:t>
      </w:r>
      <w:r>
        <w:rPr>
          <w:rFonts w:ascii="Times New Roman" w:hAnsi="Times New Roman"/>
          <w:b w:val="false"/>
          <w:i w:val="false"/>
          <w:color w:val="000000"/>
          <w:sz w:val="22"/>
        </w:rPr>
        <w:t>A final written decision and finding of fact of the board in a disciplinary proceeding shall be public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481—580.10</w:t>
      </w:r>
      <w:r>
        <w:rPr>
          <w:rFonts w:ascii="Times New Roman" w:hAnsi="Times New Roman"/>
          <w:b/>
          <w:i w:val="false"/>
          <w:color w:val="000000"/>
          <w:sz w:val="22"/>
        </w:rPr>
        <w:t xml:space="preserve">(272C) </w:t>
      </w:r>
      <w:r>
        <w:rPr>
          <w:rFonts w:ascii="Times New Roman" w:hAnsi="Times New Roman"/>
          <w:b/>
          <w:i w:val="false"/>
          <w:color w:val="000000"/>
          <w:sz w:val="22"/>
        </w:rPr>
        <w:t xml:space="preserve">Investigation of reports of judgments and settlements. </w:t>
      </w:r>
      <w:r>
        <w:rPr>
          <w:rFonts w:ascii="Times New Roman" w:hAnsi="Times New Roman"/>
          <w:b w:val="false"/>
          <w:i w:val="false"/>
          <w:color w:val="000000"/>
          <w:sz w:val="22"/>
        </w:rPr>
        <w:t>Reports received by the board from the commissioner of insurance, insurance carriers, licensees or registrants involving adverse judgments in a professional malpractice action, and settlement of claims alleging malpractice shall be reviewed and investigated by the board in the same manner as is prescribed in these rules for the review and investigation of complaints.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481—580.11</w:t>
      </w:r>
      <w:r>
        <w:rPr>
          <w:rFonts w:ascii="Times New Roman" w:hAnsi="Times New Roman"/>
          <w:b/>
          <w:i w:val="false"/>
          <w:color w:val="000000"/>
          <w:sz w:val="22"/>
        </w:rPr>
        <w:t xml:space="preserve">(147,272C) </w:t>
      </w:r>
      <w:r>
        <w:rPr>
          <w:rFonts w:ascii="Times New Roman" w:hAnsi="Times New Roman"/>
          <w:b/>
          <w:i w:val="false"/>
          <w:color w:val="000000"/>
          <w:sz w:val="22"/>
        </w:rPr>
        <w:t xml:space="preserve">Immunities.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580.11(1)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sections </w:t>
      </w:r>
      <w:hyperlink r:id="rId32">
        <w:r>
          <w:rPr>
            <w:rStyle w:val="Hyperlink"/>
            <w:rFonts w:ascii="Times New Roman" w:hAnsi="Times New Roman"/>
            <w:b w:val="false"/>
            <w:i w:val="false"/>
            <w:color w:val="000000"/>
            <w:sz w:val="22"/>
          </w:rPr>
          <w:t>147.135</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272C.6(3)</w:t>
        </w:r>
      </w:hyperlink>
      <w:r>
        <w:rPr>
          <w:rFonts w:ascii="Times New Roman" w:hAnsi="Times New Roman"/>
          <w:b w:val="false"/>
          <w:i/>
          <w:color w:val="000000"/>
          <w:sz w:val="22"/>
        </w:rPr>
        <w:t>“b,”</w:t>
      </w:r>
      <w:r>
        <w:rPr>
          <w:rFonts w:ascii="Times New Roman" w:hAnsi="Times New Roman"/>
          <w:b w:val="false"/>
          <w:i w:val="false"/>
          <w:color w:val="000000"/>
          <w:sz w:val="22"/>
        </w:rPr>
        <w:t xml:space="preserve"> a person shall not be civilly liable in relation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Filing a report or complaint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Disclosing to the board, its agents or employees, whether or not pursuant to a subpoena, records, documents, testimony or other forms of information that constitute privileged matter concerning a recipient of health care services or some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Serving in connection with proceedings of a peer review;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Serving in connection with other authorized duties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580.11(2)</w:t>
      </w:r>
      <w:r>
        <w:rPr>
          <w:rFonts w:ascii="Times New Roman" w:hAnsi="Times New Roman"/>
          <w:b w:val="false"/>
          <w:i w:val="false"/>
          <w:color w:val="000000"/>
          <w:sz w:val="22"/>
        </w:rPr>
        <w:t> </w:t>
      </w:r>
      <w:r>
        <w:rPr>
          <w:rFonts w:ascii="Times New Roman" w:hAnsi="Times New Roman"/>
          <w:b w:val="false"/>
          <w:i w:val="false"/>
          <w:color w:val="000000"/>
          <w:sz w:val="22"/>
        </w:rPr>
        <w:t>Immunity from civil liability shall not apply if the act is done with malice.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36">
        <w:r>
          <w:rPr>
            <w:rStyle w:val="Hyperlink"/>
            <w:rFonts w:ascii="Times New Roman" w:hAnsi="Times New Roman"/>
            <w:b w:val="false"/>
            <w:i w:val="false"/>
            <w:color w:val="000000"/>
            <w:sz w:val="22"/>
          </w:rPr>
          <w:t>153.13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8994C</w:t>
      </w:r>
      <w:r>
        <w:rPr>
          <w:rFonts w:ascii="Times New Roman" w:hAnsi="Times New Roman"/>
          <w:b w:val="false"/>
          <w:i w:val="false"/>
          <w:color w:val="000000"/>
          <w:sz w:val="21"/>
        </w:rPr>
        <w:t xml:space="preserve"> (Notice ARC 8511C, IAB 12/11/24)</w:t>
      </w:r>
      <w:r>
        <w:rPr>
          <w:rFonts w:ascii="Times New Roman" w:hAnsi="Times New Roman"/>
          <w:b w:val="false"/>
          <w:i w:val="false"/>
          <w:color w:val="000000"/>
          <w:sz w:val="21"/>
        </w:rPr>
        <w:t>, IAB 3/5/25, effective 4/9/25]</w:t>
      </w:r>
    </w:p>
    <w:sectPr>
      <w:footerReference r:id="rId4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87.pdf" Type="http://schemas.openxmlformats.org/officeDocument/2006/relationships/hyperlink" Id="rId5"/>
    <Relationship TargetMode="External" Target="https://www.legis.iowa.gov/docs/ico/chapter/153.33.pdf" Type="http://schemas.openxmlformats.org/officeDocument/2006/relationships/hyperlink" Id="rId6"/>
    <Relationship TargetMode="External" Target="https://www.legis.iowa.gov/docs/ico/chapter/272C.3.pdf" Type="http://schemas.openxmlformats.org/officeDocument/2006/relationships/hyperlink" Id="rId7"/>
    <Relationship TargetMode="External" Target="https://www.legis.iowa.gov/docs/ico/chapter/272C.4.pdf" Type="http://schemas.openxmlformats.org/officeDocument/2006/relationships/hyperlink" Id="rId8"/>
    <Relationship TargetMode="External" Target="https://www.legis.iowa.gov/docs/ico/chapter/153.33A.pdf" Type="http://schemas.openxmlformats.org/officeDocument/2006/relationships/hyperlink" Id="rId9"/>
    <Relationship TargetMode="External" Target="https://www.legis.iowa.gov/docs/ico/chapter/147.87.pdf" Type="http://schemas.openxmlformats.org/officeDocument/2006/relationships/hyperlink" Id="rId10"/>
    <Relationship TargetMode="External" Target="https://www.legis.iowa.gov/docs/ico/chapter/147.88.pdf" Type="http://schemas.openxmlformats.org/officeDocument/2006/relationships/hyperlink" Id="rId11"/>
    <Relationship TargetMode="External" Target="https://www.legis.iowa.gov/docs/ico/chapter/153.33.pdf" Type="http://schemas.openxmlformats.org/officeDocument/2006/relationships/hyperlink" Id="rId12"/>
    <Relationship TargetMode="External" Target="https://www.legis.iowa.gov/docs/ico/chapter/272C.3.pdf" Type="http://schemas.openxmlformats.org/officeDocument/2006/relationships/hyperlink" Id="rId13"/>
    <Relationship TargetMode="External" Target="https://www.legis.iowa.gov/docs/ico/chapter/272C.4.pdf" Type="http://schemas.openxmlformats.org/officeDocument/2006/relationships/hyperlink" Id="rId14"/>
    <Relationship TargetMode="External" Target="https://www.legis.iowa.gov/docs/ico/chapter/17A.13.pdf" Type="http://schemas.openxmlformats.org/officeDocument/2006/relationships/hyperlink" Id="rId15"/>
    <Relationship TargetMode="External" Target="https://www.legis.iowa.gov/docs/ico/chapter/153.33.pdf" Type="http://schemas.openxmlformats.org/officeDocument/2006/relationships/hyperlink" Id="rId16"/>
    <Relationship TargetMode="External" Target="https://www.legis.iowa.gov/docs/ico/chapter/272C.6.pdf" Type="http://schemas.openxmlformats.org/officeDocument/2006/relationships/hyperlink" Id="rId17"/>
    <Relationship TargetMode="External" Target="https://www.legis.iowa.gov/docs/ico/chapter/272C.6.pdf" Type="http://schemas.openxmlformats.org/officeDocument/2006/relationships/hyperlink" Id="rId18"/>
    <Relationship TargetMode="External" Target="https://www.legis.iowa.gov/docs/ico/chapter/17A.13.pdf" Type="http://schemas.openxmlformats.org/officeDocument/2006/relationships/hyperlink" Id="rId19"/>
    <Relationship TargetMode="External" Target="https://www.legis.iowa.gov/docs/ico/chapter/153.33.pdf" Type="http://schemas.openxmlformats.org/officeDocument/2006/relationships/hyperlink" Id="rId20"/>
    <Relationship TargetMode="External" Target="https://www.legis.iowa.gov/docs/ico/chapter/272C.6.pdf" Type="http://schemas.openxmlformats.org/officeDocument/2006/relationships/hyperlink" Id="rId21"/>
    <Relationship TargetMode="External" Target="https://www.legis.iowa.gov/docs/iac/rule/481.580.4.pdf" Type="http://schemas.openxmlformats.org/officeDocument/2006/relationships/hyperlink" Id="rId22"/>
    <Relationship TargetMode="External" Target="https://www.legis.iowa.gov/docs/ico/chapter/272C.3.pdf" Type="http://schemas.openxmlformats.org/officeDocument/2006/relationships/hyperlink" Id="rId23"/>
    <Relationship TargetMode="External" Target="https://www.legis.iowa.gov/docs/ico/chapter/147.135.pdf" Type="http://schemas.openxmlformats.org/officeDocument/2006/relationships/hyperlink" Id="rId24"/>
    <Relationship TargetMode="External" Target="https://www.legis.iowa.gov/docs/ico/chapter/272C.8.pdf" Type="http://schemas.openxmlformats.org/officeDocument/2006/relationships/hyperlink" Id="rId25"/>
    <Relationship TargetMode="External" Target="https://www.legis.iowa.gov/docs/ico/chapter/272C.9.pdf" Type="http://schemas.openxmlformats.org/officeDocument/2006/relationships/hyperlink" Id="rId26"/>
    <Relationship TargetMode="External" Target="https://www.legis.iowa.gov/docs/iac/rule/481.580.11.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272C.6.pdf" Type="http://schemas.openxmlformats.org/officeDocument/2006/relationships/hyperlink" Id="rId29"/>
    <Relationship TargetMode="External" Target="https://www.legis.iowa.gov/docs/iac/rule/481.580.9.pdf" Type="http://schemas.openxmlformats.org/officeDocument/2006/relationships/hyperlink" Id="rId30"/>
    <Relationship TargetMode="External" Target="https://www.legis.iowa.gov/docs/iac/chapter/481.506.pdf" Type="http://schemas.openxmlformats.org/officeDocument/2006/relationships/hyperlink" Id="rId31"/>
    <Relationship TargetMode="External" Target="https://www.legis.iowa.gov/docs/ico/chapter/147.135.pdf" Type="http://schemas.openxmlformats.org/officeDocument/2006/relationships/hyperlink" Id="rId32"/>
    <Relationship TargetMode="External" Target="https://www.legis.iowa.gov/docs/ico/chapter/272C.8.pdf" Type="http://schemas.openxmlformats.org/officeDocument/2006/relationships/hyperlink" Id="rId33"/>
    <Relationship TargetMode="External" Target="https://www.legis.iowa.gov/docs/ico/chapter/272C.6.pdf" Type="http://schemas.openxmlformats.org/officeDocument/2006/relationships/hyperlink" Id="rId34"/>
    <Relationship TargetMode="External" Target="https://www.legis.iowa.gov/docs/ico/chapter/17A.pdf" Type="http://schemas.openxmlformats.org/officeDocument/2006/relationships/hyperlink" Id="rId35"/>
    <Relationship TargetMode="External" Target="https://www.legis.iowa.gov/docs/ico/chapter/153.13.pdf" Type="http://schemas.openxmlformats.org/officeDocument/2006/relationships/hyperlink" Id="rId36"/>
    <Relationship TargetMode="External" Target="https://www.legis.iowa.gov/docs/ico/chapter/153.33.pdf" Type="http://schemas.openxmlformats.org/officeDocument/2006/relationships/hyperlink" Id="rId37"/>
    <Relationship TargetMode="External" Target="https://www.legis.iowa.gov/docs/ico/chapter/272C.3.pdf" Type="http://schemas.openxmlformats.org/officeDocument/2006/relationships/hyperlink" Id="rId38"/>
    <Relationship TargetMode="External" Target="https://www.legis.iowa.gov/docs/ico/chapter/272C.4.pdf" Type="http://schemas.openxmlformats.org/officeDocument/2006/relationships/hyperlink" Id="rId39"/>
    <Relationship Target="footer.xml" Type="http://schemas.openxmlformats.org/officeDocument/2006/relationships/footer"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