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578</w:t>
      </w:r>
    </w:p>
    <w:p>
      <w:pPr>
        <w:spacing w:before="0" w:after="0"/>
        <w:ind w:left="120"/>
        <w:jc w:val="center"/>
      </w:pPr>
      <w:r>
        <w:rPr>
          <w:rFonts w:ascii="Times New Roman" w:hAnsi="Times New Roman"/>
          <w:b w:val="false"/>
          <w:i w:val="false"/>
          <w:color w:val="000000"/>
          <w:sz w:val="21"/>
        </w:rPr>
        <w:t>PRESCRIBING, ADMINISTERING, AND DISPENSING DRUGS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481—578.1</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authority and prescribing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578.1(1)</w:t>
      </w:r>
      <w:r>
        <w:rPr>
          <w:rFonts w:ascii="Times New Roman" w:hAnsi="Times New Roman"/>
          <w:b w:val="false"/>
          <w:i w:val="false"/>
          <w:color w:val="000000"/>
          <w:sz w:val="22"/>
        </w:rPr>
        <w:t> </w:t>
      </w:r>
      <w:r>
        <w:rPr>
          <w:rFonts w:ascii="Times New Roman" w:hAnsi="Times New Roman"/>
          <w:b w:val="false"/>
          <w:i w:val="false"/>
          <w:color w:val="000000"/>
          <w:sz w:val="22"/>
        </w:rPr>
        <w:t>A license to practice dentistry issued by this board permits the licensee to prescribe, administer, or dispense prescription drugs if the use is directly within the scope of the dentist-patient relationship. Registration with the federal Drug Enforcement Administration and the board of pharmacy extends this privilege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only prescribe, administer or dispense a prescription drug for a diagnosed dental condition that is included in the treatment plan and entered into the patient record. A dental examination and medical history must be completed and entered into the patient record before a dentist prescribes, administers, or dispenses a prescription drug to a patient. Fluoride may also be dispensed under protocols approved by the dental and oral health program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578.1(3)</w:t>
      </w:r>
      <w:r>
        <w:rPr>
          <w:rFonts w:ascii="Times New Roman" w:hAnsi="Times New Roman"/>
          <w:b w:val="false"/>
          <w:i w:val="false"/>
          <w:color w:val="000000"/>
          <w:sz w:val="22"/>
        </w:rPr>
        <w:t> </w:t>
      </w:r>
      <w:r>
        <w:rPr>
          <w:rFonts w:ascii="Times New Roman" w:hAnsi="Times New Roman"/>
          <w:b w:val="false"/>
          <w:i w:val="false"/>
          <w:color w:val="000000"/>
          <w:sz w:val="22"/>
        </w:rPr>
        <w:t>On each occasion when a dentist prescribes, administers, or dispenses a prescription drug to a patient, the patient’s dental record will be updated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the 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Directions for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Conditions for which the prescription drug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578.1(4)</w:t>
      </w:r>
      <w:r>
        <w:rPr>
          <w:rFonts w:ascii="Times New Roman" w:hAnsi="Times New Roman"/>
          <w:b w:val="false"/>
          <w:i w:val="false"/>
          <w:color w:val="000000"/>
          <w:sz w:val="22"/>
        </w:rPr>
        <w:t> </w:t>
      </w:r>
      <w:r>
        <w:rPr>
          <w:rFonts w:ascii="Times New Roman" w:hAnsi="Times New Roman"/>
          <w:b w:val="false"/>
          <w:i w:val="false"/>
          <w:color w:val="000000"/>
          <w:sz w:val="22"/>
        </w:rPr>
        <w:t>A dentist may only prescribe, administer, or dispense prescription drugs in accordance with all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purchase, administer, or dispense controlled substances if the dentist maintains records and accountability in accordance with </w:t>
      </w:r>
      <w:hyperlink r:id="rId5">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 xml:space="preserve"> and all other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578.1(6)</w:t>
      </w:r>
      <w:r>
        <w:rPr>
          <w:rFonts w:ascii="Times New Roman" w:hAnsi="Times New Roman"/>
          <w:b w:val="false"/>
          <w:i w:val="false"/>
          <w:color w:val="000000"/>
          <w:sz w:val="22"/>
        </w:rPr>
        <w:t> </w:t>
      </w:r>
      <w:r>
        <w:rPr>
          <w:rFonts w:ascii="Times New Roman" w:hAnsi="Times New Roman"/>
          <w:b w:val="false"/>
          <w:i w:val="false"/>
          <w:color w:val="000000"/>
          <w:sz w:val="22"/>
        </w:rPr>
        <w:t>A dentist cannot self-prescribe or self-administer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578.1(7)</w:t>
      </w:r>
      <w:r>
        <w:rPr>
          <w:rFonts w:ascii="Times New Roman" w:hAnsi="Times New Roman"/>
          <w:b w:val="false"/>
          <w:i w:val="false"/>
          <w:color w:val="000000"/>
          <w:sz w:val="22"/>
        </w:rPr>
        <w:t> </w:t>
      </w:r>
      <w:r>
        <w:rPr>
          <w:rFonts w:ascii="Times New Roman" w:hAnsi="Times New Roman"/>
          <w:b w:val="false"/>
          <w:i w:val="false"/>
          <w:color w:val="000000"/>
          <w:sz w:val="22"/>
        </w:rPr>
        <w:t>A dentist may only prescribe, administer, or dispense controlled substances to members of the licensee’s immediate family in the case of an acute dental condition or on an emergency basis for a dental condition after the licensee conducts an examination, establishes a patient record, and maintains proper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481—578.2</w:t>
      </w:r>
      <w:r>
        <w:rPr>
          <w:rFonts w:ascii="Times New Roman" w:hAnsi="Times New Roman"/>
          <w:b/>
          <w:i w:val="false"/>
          <w:color w:val="000000"/>
          <w:sz w:val="22"/>
        </w:rPr>
        <w:t xml:space="preserve">(153) </w:t>
      </w:r>
      <w:r>
        <w:rPr>
          <w:rFonts w:ascii="Times New Roman" w:hAnsi="Times New Roman"/>
          <w:b/>
          <w:i w:val="false"/>
          <w:color w:val="000000"/>
          <w:sz w:val="22"/>
        </w:rPr>
        <w:t xml:space="preserve">Dispensing—requirements for containers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578.2(1)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shall be dispensed in a suitable container designed to protect its integrity in accordance with all applicable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578.2(2)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shall be affixed to the container in which a prescription drug is dispensed bearing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prescription drug is a Schedule II, III, or IV controlled substance, the federal transfer warning statement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Cautionary statements,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481—578.3</w:t>
      </w:r>
      <w:r>
        <w:rPr>
          <w:rFonts w:ascii="Times New Roman" w:hAnsi="Times New Roman"/>
          <w:b/>
          <w:i w:val="false"/>
          <w:color w:val="000000"/>
          <w:sz w:val="22"/>
        </w:rPr>
        <w:t xml:space="preserve">(153)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578.3(1)</w:t>
      </w:r>
      <w:r>
        <w:rPr>
          <w:rFonts w:ascii="Times New Roman" w:hAnsi="Times New Roman"/>
          <w:b w:val="false"/>
          <w:i w:val="false"/>
          <w:color w:val="000000"/>
          <w:sz w:val="22"/>
        </w:rPr>
        <w:t> </w:t>
      </w:r>
      <w:r>
        <w:rPr>
          <w:rFonts w:ascii="Times New Roman" w:hAnsi="Times New Roman"/>
          <w:b w:val="false"/>
          <w:i w:val="false"/>
          <w:color w:val="000000"/>
          <w:sz w:val="22"/>
        </w:rPr>
        <w:t>A dentist shall take adequate measures to prevent prescription forgery from occurring. Dentists may only transmit prescription drug orders, including prescriptions for controlled substances, electronically unless exempted. A dentist who fails to comply with the electronic prescription mandate may be subject to a nondisciplinary administrative penalty of $250 per violation, up to a maximum of $5,000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578.3(2)</w:t>
      </w:r>
      <w:r>
        <w:rPr>
          <w:rFonts w:ascii="Times New Roman" w:hAnsi="Times New Roman"/>
          <w:b w:val="false"/>
          <w:i w:val="false"/>
          <w:color w:val="000000"/>
          <w:sz w:val="22"/>
        </w:rPr>
        <w:t> </w:t>
      </w:r>
      <w:r>
        <w:rPr>
          <w:rFonts w:ascii="Times New Roman" w:hAnsi="Times New Roman"/>
          <w:b w:val="false"/>
          <w:i w:val="false"/>
          <w:color w:val="000000"/>
          <w:sz w:val="22"/>
        </w:rPr>
        <w:t>A dentist may delegate to a licensed dental hygienist or registered dental assistant the preparation of a prescription for the review, authorization, and manual or electronic signature of the dentist, but the dentist is responsible for the accuracy, completeness, and validity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578.3(3)</w:t>
      </w:r>
      <w:r>
        <w:rPr>
          <w:rFonts w:ascii="Times New Roman" w:hAnsi="Times New Roman"/>
          <w:b w:val="false"/>
          <w:i w:val="false"/>
          <w:color w:val="000000"/>
          <w:sz w:val="22"/>
        </w:rPr>
        <w:t> </w:t>
      </w:r>
      <w:r>
        <w:rPr>
          <w:rFonts w:ascii="Times New Roman" w:hAnsi="Times New Roman"/>
          <w:b w:val="false"/>
          <w:i w:val="false"/>
          <w:color w:val="000000"/>
          <w:sz w:val="22"/>
        </w:rPr>
        <w:t>A dentist shall securely maintain the unique authentication credentials issued to the dentist for utilization of the electronic prescription application and authentication of the dentist’s electronic signature. Unique authentication credentials issued to any individual may not be shared with or disclosed to any other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481—578.4</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Required use of the prescription monitoring program (PMP).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578.4(1)</w:t>
      </w:r>
      <w:r>
        <w:rPr>
          <w:rFonts w:ascii="Times New Roman" w:hAnsi="Times New Roman"/>
          <w:b w:val="false"/>
          <w:i w:val="false"/>
          <w:color w:val="000000"/>
          <w:sz w:val="22"/>
        </w:rPr>
        <w:t> </w:t>
      </w:r>
      <w:r>
        <w:rPr>
          <w:rFonts w:ascii="Times New Roman" w:hAnsi="Times New Roman"/>
          <w:b w:val="false"/>
          <w:i w:val="false"/>
          <w:color w:val="000000"/>
          <w:sz w:val="22"/>
        </w:rPr>
        <w:t>A dentist may only prescribe or dispense an opioid if the dentist or authorized delegate queries the PMP. The query for each patient may not be performed more than 48 hours prior to each instance of an opioid prescription being authorized, issued, or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578.4(2)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who dispenses a controlled substance is required to report the dispensing to the PMP within one business day in accordance with </w:t>
      </w:r>
      <w:hyperlink r:id="rId6">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153.20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8992C</w:t>
      </w:r>
      <w:r>
        <w:rPr>
          <w:rFonts w:ascii="Times New Roman" w:hAnsi="Times New Roman"/>
          <w:b w:val="false"/>
          <w:i w:val="false"/>
          <w:color w:val="000000"/>
          <w:sz w:val="21"/>
        </w:rPr>
        <w:t xml:space="preserve"> (Notice ARC 8503C, IAB 12/11/24)</w:t>
      </w:r>
      <w:r>
        <w:rPr>
          <w:rFonts w:ascii="Times New Roman" w:hAnsi="Times New Roman"/>
          <w:b w:val="false"/>
          <w:i w:val="false"/>
          <w:color w:val="000000"/>
          <w:sz w:val="21"/>
        </w:rPr>
        <w:t>, IAB 3/5/25, effective 4/9/25]</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3.pdf" Type="http://schemas.openxmlformats.org/officeDocument/2006/relationships/hyperlink" Id="rId5"/>
    <Relationship TargetMode="External" Target="https://www.legis.iowa.gov/docs/iac/chapter/481.556.pdf" Type="http://schemas.openxmlformats.org/officeDocument/2006/relationships/hyperlink" Id="rId6"/>
    <Relationship TargetMode="External" Target="https://www.legis.iowa.gov/docs/ico/chapter/153.2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