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577</w:t>
      </w:r>
    </w:p>
    <w:p>
      <w:pPr>
        <w:spacing w:before="0" w:after="0"/>
        <w:ind w:left="120"/>
        <w:jc w:val="center"/>
      </w:pPr>
      <w:r>
        <w:rPr>
          <w:rFonts w:ascii="Times New Roman" w:hAnsi="Times New Roman"/>
          <w:b w:val="false"/>
          <w:i w:val="false"/>
          <w:color w:val="000000"/>
          <w:sz w:val="21"/>
        </w:rPr>
        <w:t>EXPANDED FUNCTIONS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481—577.1</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requirements and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577.1(1)</w:t>
      </w:r>
      <w:r>
        <w:rPr>
          <w:rFonts w:ascii="Times New Roman" w:hAnsi="Times New Roman"/>
          <w:b w:val="false"/>
          <w:i w:val="false"/>
          <w:color w:val="000000"/>
          <w:sz w:val="22"/>
        </w:rPr>
        <w:t> </w:t>
      </w:r>
      <w:r>
        <w:rPr>
          <w:rFonts w:ascii="Times New Roman" w:hAnsi="Times New Roman"/>
          <w:b w:val="false"/>
          <w:i w:val="false"/>
          <w:color w:val="000000"/>
          <w:sz w:val="22"/>
        </w:rPr>
        <w:t>Dental hygienists or dental assistants may only perform expanded function procedures upon successful completion of a board-approved course of training. Dental assistant trainees are not eligible to receive training in or perform expanded function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shall not preclude dental hygienists or dental assistants from practicing expanded function procedures for training purposes while enrolled in a board-approved course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Expanded function procedures must be delegated by and performed under the direct supervision of a licensed dentist unless otherwise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that are therapeutic or preventive in nature and are within the scope of practice for dental hygienists are not deemed to be expanded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train in expanded function procedures, dental hygienists must hold an active dental hygiene license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577.1(3)</w:t>
      </w:r>
      <w:r>
        <w:rPr>
          <w:rFonts w:ascii="Times New Roman" w:hAnsi="Times New Roman"/>
          <w:b w:val="false"/>
          <w:i w:val="false"/>
          <w:color w:val="000000"/>
          <w:sz w:val="22"/>
        </w:rPr>
        <w:t> </w:t>
      </w:r>
      <w:r>
        <w:rPr>
          <w:rFonts w:ascii="Times New Roman" w:hAnsi="Times New Roman"/>
          <w:b w:val="false"/>
          <w:i w:val="false"/>
          <w:color w:val="000000"/>
          <w:sz w:val="22"/>
        </w:rPr>
        <w:t>To be eligible to train in expanded function procedures, dental assistants must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graduate of an accredited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currently certified by the Dental Assisting National Board (DANB);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at least three months of clinical practice as a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577.1(4)</w:t>
      </w:r>
      <w:r>
        <w:rPr>
          <w:rFonts w:ascii="Times New Roman" w:hAnsi="Times New Roman"/>
          <w:b w:val="false"/>
          <w:i w:val="false"/>
          <w:color w:val="000000"/>
          <w:sz w:val="22"/>
        </w:rPr>
        <w:t> </w:t>
      </w:r>
      <w:r>
        <w:rPr>
          <w:rFonts w:ascii="Times New Roman" w:hAnsi="Times New Roman"/>
          <w:b w:val="false"/>
          <w:i w:val="false"/>
          <w:color w:val="000000"/>
          <w:sz w:val="22"/>
        </w:rPr>
        <w:t>A dentist who delegates expanded function procedures to dental hygienists or dental assistants under direct supervision must examine the patient to review the quality of work prior to the conclusion of the dental appointment. The following expanded function procedures are exempt from this requirement and may be performed under general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Recementation of a provisional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 for purposes other than mounting study casts by dental hygienists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481—577.2</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categories. </w:t>
      </w:r>
      <w:r>
        <w:rPr>
          <w:rFonts w:ascii="Times New Roman" w:hAnsi="Times New Roman"/>
          <w:b w:val="false"/>
          <w:i w:val="false"/>
          <w:color w:val="000000"/>
          <w:sz w:val="22"/>
        </w:rPr>
        <w:t>Dental hygienists and dental assistants must be issued a certificate of completion for the corresponding function in which board-approved training has been completed before performing a specific expanded function procedure. A dentist may delegate to dental hygienists or dental assistants only those expanded function procedures in which training has been successfully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577.2(1)</w:t>
      </w:r>
      <w:r>
        <w:rPr>
          <w:rFonts w:ascii="Times New Roman" w:hAnsi="Times New Roman"/>
          <w:b w:val="false"/>
          <w:i w:val="false"/>
          <w:color w:val="000000"/>
          <w:sz w:val="22"/>
        </w:rPr>
        <w:t> </w:t>
      </w:r>
      <w:r>
        <w:rPr>
          <w:rFonts w:ascii="Times New Roman" w:hAnsi="Times New Roman"/>
          <w:b w:val="false"/>
          <w:i w:val="false"/>
          <w:color w:val="000000"/>
          <w:sz w:val="22"/>
        </w:rPr>
        <w:t>Level 1 expanded functions may be taught by board-approved training providers using curriculum prior-approved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577.2(2)</w:t>
      </w:r>
      <w:r>
        <w:rPr>
          <w:rFonts w:ascii="Times New Roman" w:hAnsi="Times New Roman"/>
          <w:b w:val="false"/>
          <w:i w:val="false"/>
          <w:color w:val="000000"/>
          <w:sz w:val="22"/>
        </w:rPr>
        <w:t> </w:t>
      </w:r>
      <w:r>
        <w:rPr>
          <w:rFonts w:ascii="Times New Roman" w:hAnsi="Times New Roman"/>
          <w:b w:val="false"/>
          <w:i w:val="false"/>
          <w:color w:val="000000"/>
          <w:sz w:val="22"/>
        </w:rPr>
        <w:t>Training in Level 2 expanded functions must be completed at the University of Iowa College of Dentistry or another accredited school using curriculum approved by the board. Before beginning Level 2 training, dental hygienists and dental assistants must complete all prerequisites for the Level 2 training established by the accredited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481—577.3</w:t>
      </w:r>
      <w:r>
        <w:rPr>
          <w:rFonts w:ascii="Times New Roman" w:hAnsi="Times New Roman"/>
          <w:b/>
          <w:i w:val="false"/>
          <w:color w:val="000000"/>
          <w:sz w:val="22"/>
        </w:rPr>
        <w:t xml:space="preserve">(153) </w:t>
      </w:r>
      <w:r>
        <w:rPr>
          <w:rFonts w:ascii="Times New Roman" w:hAnsi="Times New Roman"/>
          <w:b/>
          <w:i w:val="false"/>
          <w:color w:val="000000"/>
          <w:sz w:val="22"/>
        </w:rPr>
        <w:t xml:space="preserve">Level 1 expanded function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577.3(1)</w:t>
      </w:r>
      <w:r>
        <w:rPr>
          <w:rFonts w:ascii="Times New Roman" w:hAnsi="Times New Roman"/>
          <w:b w:val="false"/>
          <w:i w:val="false"/>
          <w:color w:val="000000"/>
          <w:sz w:val="22"/>
        </w:rPr>
        <w:t> </w:t>
      </w:r>
      <w:r>
        <w:rPr>
          <w:rFonts w:ascii="Times New Roman" w:hAnsi="Times New Roman"/>
          <w:b w:val="false"/>
          <w:i w:val="false"/>
          <w:color w:val="000000"/>
          <w:sz w:val="22"/>
        </w:rPr>
        <w:t>Level 1 expanded function procedures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gingival retraction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Fabrication, temporary cementation, and removal of provisional restorations following review of the fit and function by the supervising dentist, and temporary recementation of provisional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Applying cavity liners and bases and desensitizing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Applying bonding systems, which may include the placement of the attachments used in clear aligner systems, following review of the fit and function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Placement, bonding, and removal of provisional orthodontic restorations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Placement or bonding of orthodontic brackets and bands or provisional orthodontic appliances following review of the fit and function by the supervising dentist;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Removal of adhesive, orthodontic brackets and bands, or provisional orthodontic appliances using nonmotorized hand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Taking final impressions for fixed restorations or dental prosthetics;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Placement of temporary restorative materials following preparation of the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Extraoral adjustment to acrylic dentures without making any adjustments to the prosthetic teeth;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Tissue conditioning (soft reline only);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Placement, management, and removal of an intravenous (IV) infusion line for moderate sedation, deep sedation, or general anesthesia. Placement of an IV may include the administration of saline. Placement of an IV does not include the administration of any drugs or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577.3(2)</w:t>
      </w:r>
      <w:r>
        <w:rPr>
          <w:rFonts w:ascii="Times New Roman" w:hAnsi="Times New Roman"/>
          <w:b w:val="false"/>
          <w:i w:val="false"/>
          <w:color w:val="000000"/>
          <w:sz w:val="22"/>
        </w:rPr>
        <w:t> </w:t>
      </w:r>
      <w:r>
        <w:rPr>
          <w:rFonts w:ascii="Times New Roman" w:hAnsi="Times New Roman"/>
          <w:b w:val="false"/>
          <w:i w:val="false"/>
          <w:color w:val="000000"/>
          <w:sz w:val="22"/>
        </w:rPr>
        <w:t>The following procedures are Level 1 expanded functions only for dental assistants and are within the scope of practice for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Monitoring of patients receiving nitrous oxide inhalation analgesia, which may include increasing oxygen levels as needed,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dentist shall induce a patient and establish the maintenance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dental assistant may make adjustments that decrease the nitrous oxide concentration during the administration of nitrous oxide;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dental assistant may turn off the oxygen delivery at the completion of the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Removal of adhesives using nonmotorized hand instrumentation.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481—577.4</w:t>
      </w:r>
      <w:r>
        <w:rPr>
          <w:rFonts w:ascii="Times New Roman" w:hAnsi="Times New Roman"/>
          <w:b/>
          <w:i w:val="false"/>
          <w:color w:val="000000"/>
          <w:sz w:val="22"/>
        </w:rPr>
        <w:t xml:space="preserve">(153) </w:t>
      </w:r>
      <w:r>
        <w:rPr>
          <w:rFonts w:ascii="Times New Roman" w:hAnsi="Times New Roman"/>
          <w:b/>
          <w:i w:val="false"/>
          <w:color w:val="000000"/>
          <w:sz w:val="22"/>
        </w:rPr>
        <w:t xml:space="preserve">Level 2 expanded function procedures for dental hygienists and dental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577.4(1)</w:t>
      </w:r>
      <w:r>
        <w:rPr>
          <w:rFonts w:ascii="Times New Roman" w:hAnsi="Times New Roman"/>
          <w:b w:val="false"/>
          <w:i w:val="false"/>
          <w:color w:val="000000"/>
          <w:sz w:val="22"/>
        </w:rPr>
        <w:t> </w:t>
      </w:r>
      <w:r>
        <w:rPr>
          <w:rFonts w:ascii="Times New Roman" w:hAnsi="Times New Roman"/>
          <w:b w:val="false"/>
          <w:i w:val="false"/>
          <w:color w:val="000000"/>
          <w:sz w:val="22"/>
        </w:rPr>
        <w:t>Level 2 expanded function procedures for dental hygienists and dental assistants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and shaping of amalgam following preparation of a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and shaping of adhesive restorative materials following preparation of a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Polishing of adhesive restorative material using a slow-speed handpiece;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Fitting of stainless-steel crowns on primary posterior teeth and cementation after fit verification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577.4(2)</w:t>
      </w:r>
      <w:r>
        <w:rPr>
          <w:rFonts w:ascii="Times New Roman" w:hAnsi="Times New Roman"/>
          <w:b w:val="false"/>
          <w:i w:val="false"/>
          <w:color w:val="000000"/>
          <w:sz w:val="22"/>
        </w:rPr>
        <w:t> </w:t>
      </w:r>
      <w:r>
        <w:rPr>
          <w:rFonts w:ascii="Times New Roman" w:hAnsi="Times New Roman"/>
          <w:b w:val="false"/>
          <w:i w:val="false"/>
          <w:color w:val="000000"/>
          <w:sz w:val="22"/>
        </w:rPr>
        <w:t>Level 2 expanded function procedures for dental assistants include the placement of sealants. The placement of sealants is included in the scope of practice for dental hygienists and is not considered an expanded function for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577.4(3)</w:t>
      </w:r>
      <w:r>
        <w:rPr>
          <w:rFonts w:ascii="Times New Roman" w:hAnsi="Times New Roman"/>
          <w:b w:val="false"/>
          <w:i w:val="false"/>
          <w:color w:val="000000"/>
          <w:sz w:val="22"/>
        </w:rPr>
        <w:t> </w:t>
      </w:r>
      <w:r>
        <w:rPr>
          <w:rFonts w:ascii="Times New Roman" w:hAnsi="Times New Roman"/>
          <w:b w:val="false"/>
          <w:i w:val="false"/>
          <w:color w:val="000000"/>
          <w:sz w:val="22"/>
        </w:rPr>
        <w:t>These Level 2 expanded function procedures refer to both primary and permanent teeth except as otherwise noted. Training in Level 2 expanded functions may be separated between application of the services on primary or permanent teeth as determined by the accredited training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481—577.5</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577.5(1)</w:t>
      </w:r>
      <w:r>
        <w:rPr>
          <w:rFonts w:ascii="Times New Roman" w:hAnsi="Times New Roman"/>
          <w:b w:val="false"/>
          <w:i w:val="false"/>
          <w:color w:val="000000"/>
          <w:sz w:val="22"/>
        </w:rPr>
        <w:t> </w:t>
      </w:r>
      <w:r>
        <w:rPr>
          <w:rFonts w:ascii="Times New Roman" w:hAnsi="Times New Roman"/>
          <w:b w:val="false"/>
          <w:i/>
          <w:color w:val="000000"/>
          <w:sz w:val="22"/>
        </w:rPr>
        <w:t xml:space="preserve">Approved expanded function training programs. </w:t>
      </w:r>
      <w:r>
        <w:rPr>
          <w:rFonts w:ascii="Times New Roman" w:hAnsi="Times New Roman"/>
          <w:b w:val="false"/>
          <w:i w:val="false"/>
          <w:color w:val="000000"/>
          <w:sz w:val="22"/>
        </w:rPr>
        <w:t>Training programs for Level 1 and Level 2 expanded function procedures must be board-approved. Training programs for Level 2 expanded function procedures are limited to the University of Iowa College of Dentistry or another accredited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577.5(2)</w:t>
      </w:r>
      <w:r>
        <w:rPr>
          <w:rFonts w:ascii="Times New Roman" w:hAnsi="Times New Roman"/>
          <w:b w:val="false"/>
          <w:i w:val="false"/>
          <w:color w:val="000000"/>
          <w:sz w:val="22"/>
        </w:rPr>
        <w:t> </w:t>
      </w:r>
      <w:r>
        <w:rPr>
          <w:rFonts w:ascii="Times New Roman" w:hAnsi="Times New Roman"/>
          <w:b w:val="false"/>
          <w:i/>
          <w:color w:val="000000"/>
          <w:sz w:val="22"/>
        </w:rPr>
        <w:t xml:space="preserve">Certificates of completion. </w:t>
      </w:r>
      <w:r>
        <w:rPr>
          <w:rFonts w:ascii="Times New Roman" w:hAnsi="Times New Roman"/>
          <w:b w:val="false"/>
          <w:i w:val="false"/>
          <w:color w:val="000000"/>
          <w:sz w:val="22"/>
        </w:rPr>
        <w:t>All board-approved training programs are authorized and required to issue certificates to dental hygienists and dental assistants who successfully complete expanded function training. A certificate shall be issued for one or more of the expanded function procedures completed. Dental hygienists and dental assistants shall prominently display the expanded functions certificate in each dental facility where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577.5(3)</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Training may be completed in one or more of the listed expanded function procedures. Clinical training in expanded function procedures must be completed under observational supervision. Level 1 expanded function training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assessment to determine the base entry level of all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of the minimum standards for each function as specified in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post-course written examination at the conclusion of the training program, with a minimum of ten questions per function. A score of 75 percent or higher is deemed to be 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577.5(4)</w:t>
      </w:r>
      <w:r>
        <w:rPr>
          <w:rFonts w:ascii="Times New Roman" w:hAnsi="Times New Roman"/>
          <w:b w:val="false"/>
          <w:i w:val="false"/>
          <w:color w:val="000000"/>
          <w:sz w:val="22"/>
        </w:rPr>
        <w:t> </w:t>
      </w:r>
      <w:r>
        <w:rPr>
          <w:rFonts w:ascii="Times New Roman" w:hAnsi="Times New Roman"/>
          <w:b w:val="false"/>
          <w:i/>
          <w:color w:val="000000"/>
          <w:sz w:val="22"/>
        </w:rPr>
        <w:t xml:space="preserve">Minimum training standards. </w:t>
      </w:r>
      <w:r>
        <w:rPr>
          <w:rFonts w:ascii="Times New Roman" w:hAnsi="Times New Roman"/>
          <w:b w:val="false"/>
          <w:i w:val="false"/>
          <w:color w:val="000000"/>
          <w:sz w:val="22"/>
        </w:rPr>
        <w:t>Every expanded function procedure requires the completion of clinical training that includes a minimum of five patient experiences per procedure under observational supervision unless stated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 In addition to the required clinical training, a minimum of one hour of didactic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gingival retraction material. In addition to the required clinical training, a minimum of two hours of didactic training and the equivalent of one hour of laboratory training that includes three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Fabrication, temporary cementation, temporary recementation, and removal of provisional restorations. A minimum of four hours of didactic training, the equivalent of four hours of laboratory training that includes five experiences, and clinical training that includes a minimum of ten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Applying cavity liners and bases and desensitizing agents. In addition to the required clinical training, a minimum of one hour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Applying bonding systems, which may include the placement of the attachments used in clear aligner systems, following review of the fit and function by the supervising dentist. In addition to the required clinical training, a minimum of two hours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bonding, and removal of orthodontic brackets and bands or provisional orthodontic appliances pursuant to paragraph </w:t>
      </w:r>
      <w:hyperlink r:id="rId5">
        <w:r>
          <w:rPr>
            <w:rStyle w:val="Hyperlink"/>
            <w:rFonts w:ascii="Times New Roman" w:hAnsi="Times New Roman"/>
            <w:b w:val="false"/>
            <w:i w:val="false"/>
            <w:color w:val="000000"/>
            <w:sz w:val="22"/>
          </w:rPr>
          <w:t>577.3(1)</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each procedure, in addition to the required clinical training, a minimum of two hours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of patients receiving nitrous oxide inhalation analgesia, pursuant to paragraph </w:t>
      </w:r>
      <w:hyperlink r:id="rId6">
        <w:r>
          <w:rPr>
            <w:rStyle w:val="Hyperlink"/>
            <w:rFonts w:ascii="Times New Roman" w:hAnsi="Times New Roman"/>
            <w:b w:val="false"/>
            <w:i w:val="false"/>
            <w:color w:val="000000"/>
            <w:sz w:val="22"/>
          </w:rPr>
          <w:t>577.3(2)</w:t>
        </w:r>
        <w:r>
          <w:rPr>
            <w:rFonts w:ascii="Times New Roman" w:hAnsi="Times New Roman"/>
            <w:b w:val="false"/>
            <w:i/>
            <w:color w:val="000000"/>
            <w:sz w:val="22"/>
          </w:rPr>
          <w:t>“a.”</w:t>
        </w:r>
      </w:hyperlink>
      <w:r>
        <w:rPr>
          <w:rFonts w:ascii="Times New Roman" w:hAnsi="Times New Roman"/>
          <w:b w:val="false"/>
          <w:i w:val="false"/>
          <w:color w:val="000000"/>
          <w:sz w:val="22"/>
        </w:rPr>
        <w:t xml:space="preserve"> In addition to the required clinical training, a minimum of two hours of didactic training and one hour of laboratory training in the office where the dental hygienist or dental assistant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Taking final impressions. A minimum of three hours of didactic training, and the equivalent of clinical training that includes a minimum of six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Removal of adhesives using nonmotorized hand instrumentation. In addition to the required clinical training, a minimum of one hour of didactic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Placement of temporary restorative materials following preparation of the tooth by the dentist. In addition to the required clinical training, a minimum of two hours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Extraoral adjustment to acrylic dentures without making any adjustments to the prosthetic teeth. In addition to the required clinical training, a minimum of one hour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Tissue conditioning (soft reline only). In addition to the required clinical training, a minimum of one hour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Placement, management, and removal of an IV infusion line for moderate sedation, deep sedation, or general anesthesia. A minimum of 12 hours of didactic training or current Dental Anesthesia Assistant National Certification Examination (DAANCE) certification; and eight hours of laboratory and clinical training that includes a minimum of six venipunctures, two of which are completed on human subjects. Supervision for the clinical experiences shall be completed under the supervision of a dentist with a current sedation or anesthesia permit, or a licensed sedation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577.5(5)</w:t>
      </w:r>
      <w:r>
        <w:rPr>
          <w:rFonts w:ascii="Times New Roman" w:hAnsi="Times New Roman"/>
          <w:b w:val="false"/>
          <w:i w:val="false"/>
          <w:color w:val="000000"/>
          <w:sz w:val="22"/>
        </w:rPr>
        <w:t> </w:t>
      </w:r>
      <w:r>
        <w:rPr>
          <w:rFonts w:ascii="Times New Roman" w:hAnsi="Times New Roman"/>
          <w:b w:val="false"/>
          <w:i/>
          <w:color w:val="000000"/>
          <w:sz w:val="22"/>
        </w:rPr>
        <w:t xml:space="preserve">Acceptance of previously completed board-approved training. </w:t>
      </w:r>
      <w:r>
        <w:rPr>
          <w:rFonts w:ascii="Times New Roman" w:hAnsi="Times New Roman"/>
          <w:b w:val="false"/>
          <w:i w:val="false"/>
          <w:color w:val="000000"/>
          <w:sz w:val="22"/>
        </w:rPr>
        <w:t>Any dental hygienist or dental assistant who previously completed board-approved expanded function training can continue to perform expanded function procedures for which training has been completed and documentation is available. For any expanded function procedures that are new, in whole or in part, additional training to satisfy the minimum training requirement is required of the dental hygienist or dental assistant prior to performing the new expanded function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8991C</w:t>
      </w:r>
      <w:r>
        <w:rPr>
          <w:rFonts w:ascii="Times New Roman" w:hAnsi="Times New Roman"/>
          <w:b w:val="false"/>
          <w:i w:val="false"/>
          <w:color w:val="000000"/>
          <w:sz w:val="21"/>
        </w:rPr>
        <w:t xml:space="preserve"> (Notice ARC 8478C,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7.3.pdf" Type="http://schemas.openxmlformats.org/officeDocument/2006/relationships/hyperlink" Id="rId5"/>
    <Relationship TargetMode="External" Target="https://www.legis.iowa.gov/docs/iac/rule/481.577.3.pdf" Type="http://schemas.openxmlformats.org/officeDocument/2006/relationships/hyperlink" Id="rId6"/>
    <Relationship TargetMode="External" Target="https://www.legis.iowa.gov/docs/ico/chapter/15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