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576</w:t>
      </w:r>
    </w:p>
    <w:p>
      <w:pPr>
        <w:spacing w:before="0" w:after="0"/>
        <w:ind w:left="120"/>
        <w:jc w:val="center"/>
      </w:pPr>
      <w:r>
        <w:rPr>
          <w:rFonts w:ascii="Times New Roman" w:hAnsi="Times New Roman"/>
          <w:b w:val="false"/>
          <w:i w:val="false"/>
          <w:color w:val="000000"/>
          <w:sz w:val="21"/>
        </w:rPr>
        <w:t>DENTAL HYGIENISTS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481—576.1</w:t>
      </w:r>
      <w:r>
        <w:rPr>
          <w:rFonts w:ascii="Times New Roman" w:hAnsi="Times New Roman"/>
          <w:b/>
          <w:i w:val="false"/>
          <w:color w:val="000000"/>
          <w:sz w:val="22"/>
        </w:rPr>
        <w:t xml:space="preserve">(153) </w:t>
      </w:r>
      <w:r>
        <w:rPr>
          <w:rFonts w:ascii="Times New Roman" w:hAnsi="Times New Roman"/>
          <w:b/>
          <w:i w:val="false"/>
          <w:color w:val="000000"/>
          <w:sz w:val="22"/>
        </w:rPr>
        <w:t xml:space="preserve">Authorized practice of a dental hygienist.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576.1(1)</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of dental hygiene” is defined in Iowa Code section </w:t>
      </w:r>
      <w:hyperlink r:id="rId5">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includes the performance of educational, therapeutic, preventive and assessment services. Dental hygienists may perform such services, except educational services, when delegated by and performed under the supervision of an Iowa-licensed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services include assessing the need for, planning, implementing, and evaluating oral health education programs for individual patients and community groups and conducting workshops and in-service training sessions on dental health for nurses, school personnel, institutional staff, community groups and other agencies providing consultation and technical assistance for promotional, preventive and educational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Therapeutic services include identifying and evaluating factors that indicate the need for and performing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prophylaxis, which includes supragingival and subgingival debridement of plaque, and detection and removal of calculus with instruments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Periodontal scaling and root planing;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Removal and polishing of hardened excess restorative material, which may include adhesives, using nonmotorized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local anesthesia with the proper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nitrous oxide inhalation analgesia in accordance with rule </w:t>
      </w:r>
      <w:hyperlink r:id="rId6">
        <w:r>
          <w:rPr>
            <w:rStyle w:val="Hyperlink"/>
            <w:rFonts w:ascii="Times New Roman" w:hAnsi="Times New Roman"/>
            <w:b w:val="false"/>
            <w:i w:val="false"/>
            <w:color w:val="000000"/>
            <w:sz w:val="22"/>
          </w:rPr>
          <w:t>481—579.1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Application and administration of medicaments prescribed by a dentist, including chemotherapeutic agents, or therapies for the treatment of periodontal disease and caries;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Phlebotomy;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7">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Preventive services include applying pit and fissure sealants and medications, including silver diamine fluoride; using other methods for caries and periodontal disease control; and organizing and administering fluoride rinse or sealant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Assessment services include reviewing medical and dental health histories, performing oral inspection, indexing dental and periodontal disease, preliminary charting of existing dental restorations and teeth, making occlusal registrations for mounting study casts, testing pulp vitality, testing glucose levels, and analyzing dietary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576.1(2)</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may only be delegated by a dentist to a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Administration of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sealants except as permitted by </w:t>
      </w:r>
      <w:hyperlink r:id="rId8">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Removal of any plaque, stain, calculus, or hard natural or synthetic material, except when removed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576.1(3)</w:t>
      </w:r>
      <w:r>
        <w:rPr>
          <w:rFonts w:ascii="Times New Roman" w:hAnsi="Times New Roman"/>
          <w:b w:val="false"/>
          <w:i w:val="false"/>
          <w:color w:val="000000"/>
          <w:sz w:val="22"/>
        </w:rPr>
        <w:t> </w:t>
      </w:r>
      <w:r>
        <w:rPr>
          <w:rFonts w:ascii="Times New Roman" w:hAnsi="Times New Roman"/>
          <w:b w:val="false"/>
          <w:i w:val="false"/>
          <w:color w:val="000000"/>
          <w:sz w:val="22"/>
        </w:rPr>
        <w:t>Subsequent examination and monitoring of the patient, including definitive diagnosis and treatment planning, is the responsibility of the dentist and shall be carried out in a reasonable period of time in accordance with the professional judgment of the dentist based upon the individual needs of the 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481—576.2</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practice and 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chapter </w:t>
      </w:r>
      <w:hyperlink r:id="rId1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all authorized services provided by a dental hygienist, except educational services, shall be performed under the general, direct, or public health supervision of an Iowa-licensed dentist. Pursuant to </w:t>
      </w:r>
      <w:hyperlink r:id="rId11">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clinical training in expanded functions requires those services to be performed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576.2(2)</w:t>
      </w:r>
      <w:r>
        <w:rPr>
          <w:rFonts w:ascii="Times New Roman" w:hAnsi="Times New Roman"/>
          <w:b w:val="false"/>
          <w:i w:val="false"/>
          <w:color w:val="000000"/>
          <w:sz w:val="22"/>
        </w:rPr>
        <w:t> </w:t>
      </w:r>
      <w:r>
        <w:rPr>
          <w:rFonts w:ascii="Times New Roman" w:hAnsi="Times New Roman"/>
          <w:b w:val="false"/>
          <w:i w:val="false"/>
          <w:color w:val="000000"/>
          <w:sz w:val="22"/>
        </w:rPr>
        <w:t>Under the general supervision of a dentist, a dental hygienist may provide educational, therapeutic, preventive and assessment services, including screening, or data collection for the preparation of written records for evaluation by a licensed dentist. A dentist may only delegate patient services to be performed under general supervision for patients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576.2(3)</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public health supervision of a dentist, a dental hygienist may provide educational, therapeutic, preventive and assessment services, including screening, or data collection pursuant to rule </w:t>
      </w:r>
      <w:hyperlink r:id="rId12">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576.2(4)</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hygienists may only administer local anesthesia if they hold a current permit in accordance with rule </w:t>
      </w:r>
      <w:hyperlink r:id="rId13">
        <w:r>
          <w:rPr>
            <w:rStyle w:val="Hyperlink"/>
            <w:rFonts w:ascii="Times New Roman" w:hAnsi="Times New Roman"/>
            <w:b w:val="false"/>
            <w:i w:val="false"/>
            <w:color w:val="000000"/>
            <w:sz w:val="22"/>
          </w:rPr>
          <w:t>481—572.10</w:t>
        </w:r>
      </w:hyperlink>
      <w:r>
        <w:rPr>
          <w:rFonts w:ascii="Times New Roman" w:hAnsi="Times New Roman"/>
          <w:b w:val="false"/>
          <w:i w:val="false"/>
          <w:color w:val="000000"/>
          <w:sz w:val="22"/>
        </w:rPr>
        <w:t xml:space="preserve">(147,153), or nitrous oxide inhalation analgesia in accordance with rule </w:t>
      </w:r>
      <w:hyperlink r:id="rId14">
        <w:r>
          <w:rPr>
            <w:rStyle w:val="Hyperlink"/>
            <w:rFonts w:ascii="Times New Roman" w:hAnsi="Times New Roman"/>
            <w:b w:val="false"/>
            <w:i w:val="false"/>
            <w:color w:val="000000"/>
            <w:sz w:val="22"/>
          </w:rPr>
          <w:t>481—579.1</w:t>
        </w:r>
      </w:hyperlink>
      <w:r>
        <w:rPr>
          <w:rFonts w:ascii="Times New Roman" w:hAnsi="Times New Roman"/>
          <w:b w:val="false"/>
          <w:i w:val="false"/>
          <w:color w:val="000000"/>
          <w:sz w:val="22"/>
        </w:rPr>
        <w:t xml:space="preserve">(153), and perform expanded functions in accordance with </w:t>
      </w:r>
      <w:hyperlink r:id="rId15">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xml:space="preserve"> under the direct supervision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576.2(5)</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hygienists may perform all other authorized services on a new patient under the direct or public health supervision of a dentist pursuant to rule </w:t>
      </w:r>
      <w:hyperlink r:id="rId16">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(153). An examination by the dentist must take place during an initial visit by a new patient, except when hygiene services are provided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576.2(6)</w:t>
      </w:r>
      <w:r>
        <w:rPr>
          <w:rFonts w:ascii="Times New Roman" w:hAnsi="Times New Roman"/>
          <w:b w:val="false"/>
          <w:i w:val="false"/>
          <w:color w:val="000000"/>
          <w:sz w:val="22"/>
        </w:rPr>
        <w:t> </w:t>
      </w:r>
      <w:r>
        <w:rPr>
          <w:rFonts w:ascii="Times New Roman" w:hAnsi="Times New Roman"/>
          <w:b w:val="false"/>
          <w:i w:val="false"/>
          <w:color w:val="000000"/>
          <w:sz w:val="22"/>
        </w:rPr>
        <w:t>Dentists may authorize services to be performed under direct supervision in lieu of general supervision when the dentist determines such supervision is necessary to meet the individual needs of the 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481—576.3</w:t>
      </w:r>
      <w:r>
        <w:rPr>
          <w:rFonts w:ascii="Times New Roman" w:hAnsi="Times New Roman"/>
          <w:b/>
          <w:i w:val="false"/>
          <w:color w:val="000000"/>
          <w:sz w:val="22"/>
        </w:rPr>
        <w:t xml:space="preserve">(153) </w:t>
      </w:r>
      <w:r>
        <w:rPr>
          <w:rFonts w:ascii="Times New Roman" w:hAnsi="Times New Roman"/>
          <w:b/>
          <w:i w:val="false"/>
          <w:color w:val="000000"/>
          <w:sz w:val="22"/>
        </w:rPr>
        <w:t xml:space="preserve">Unauthorized practice of a dental hygienist.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576.3(1)</w:t>
      </w:r>
      <w:r>
        <w:rPr>
          <w:rFonts w:ascii="Times New Roman" w:hAnsi="Times New Roman"/>
          <w:b w:val="false"/>
          <w:i w:val="false"/>
          <w:color w:val="000000"/>
          <w:sz w:val="22"/>
        </w:rPr>
        <w:t> </w:t>
      </w:r>
      <w:r>
        <w:rPr>
          <w:rFonts w:ascii="Times New Roman" w:hAnsi="Times New Roman"/>
          <w:b w:val="false"/>
          <w:i w:val="false"/>
          <w:color w:val="000000"/>
          <w:sz w:val="22"/>
        </w:rPr>
        <w:t>A dental hygienist who renders hygiene services, except educational services, that have not been delegated by a licensed dentist or that are not performed under the supervision of a licensed dentist as provided by rule is deemed to be practicing illegally.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unauthorized practice of dental hygiene means allowing a person not licensed in dentistry or dental hygiene to perform dental hygiene services or for a dental hygienist to perform services that exceed the scope of practice authorized in Iowa Code section </w:t>
      </w:r>
      <w:hyperlink r:id="rId18">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481—576.4</w:t>
      </w:r>
      <w:r>
        <w:rPr>
          <w:rFonts w:ascii="Times New Roman" w:hAnsi="Times New Roman"/>
          <w:b/>
          <w:i w:val="false"/>
          <w:color w:val="000000"/>
          <w:sz w:val="22"/>
        </w:rPr>
        <w:t xml:space="preserve">(153) </w:t>
      </w:r>
      <w:r>
        <w:rPr>
          <w:rFonts w:ascii="Times New Roman" w:hAnsi="Times New Roman"/>
          <w:b/>
          <w:i w:val="false"/>
          <w:color w:val="000000"/>
          <w:sz w:val="22"/>
        </w:rPr>
        <w:t xml:space="preserve">Students enrolled in dental hygiene programs. </w:t>
      </w:r>
      <w:r>
        <w:rPr>
          <w:rFonts w:ascii="Times New Roman" w:hAnsi="Times New Roman"/>
          <w:b w:val="false"/>
          <w:i w:val="false"/>
          <w:color w:val="000000"/>
          <w:sz w:val="22"/>
        </w:rPr>
        <w:t>Students enrolled in an accredited dental hygiene program are not considered to be engaged in the unlawful practice of dental hygiene provided that such practice is in connection with their regular course of instruction and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576.4(1)</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peers enrolled in the same program may be performed under the direct supervision of a program instructor with an active Iowa dental hygiene license, faculty permit, or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576.4(2)</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members of the public may only be performed under the general supervision of a dentist with an active Iowa dental license or faculty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576.4(3)</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involving the administration or monitoring of nitrous oxide or the administration of local anesthesia may only be performed under the direct supervision of a dentist with an active Iowa dental license or faculty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153.14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8990C</w:t>
      </w:r>
      <w:r>
        <w:rPr>
          <w:rFonts w:ascii="Times New Roman" w:hAnsi="Times New Roman"/>
          <w:b w:val="false"/>
          <w:i w:val="false"/>
          <w:color w:val="000000"/>
          <w:sz w:val="21"/>
        </w:rPr>
        <w:t xml:space="preserve"> (Notice ARC 8489C, IAB 12/11/24)</w:t>
      </w:r>
      <w:r>
        <w:rPr>
          <w:rFonts w:ascii="Times New Roman" w:hAnsi="Times New Roman"/>
          <w:b w:val="false"/>
          <w:i w:val="false"/>
          <w:color w:val="000000"/>
          <w:sz w:val="21"/>
        </w:rPr>
        <w:t>, IAB 3/5/25, effective 4/9/25]</w:t>
      </w:r>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15.pdf" Type="http://schemas.openxmlformats.org/officeDocument/2006/relationships/hyperlink" Id="rId5"/>
    <Relationship TargetMode="External" Target="https://www.legis.iowa.gov/docs/iac/rule/481.579.1.pdf" Type="http://schemas.openxmlformats.org/officeDocument/2006/relationships/hyperlink" Id="rId6"/>
    <Relationship TargetMode="External" Target="https://www.legis.iowa.gov/docs/iac/chapter/481.577.pdf" Type="http://schemas.openxmlformats.org/officeDocument/2006/relationships/hyperlink" Id="rId7"/>
    <Relationship TargetMode="External" Target="https://www.legis.iowa.gov/docs/iac/chapter/481.577.pdf" Type="http://schemas.openxmlformats.org/officeDocument/2006/relationships/hyperlink" Id="rId8"/>
    <Relationship TargetMode="External" Target="https://www.legis.iowa.gov/docs/ico/chapter/153.15.pdf" Type="http://schemas.openxmlformats.org/officeDocument/2006/relationships/hyperlink" Id="rId9"/>
    <Relationship TargetMode="External" Target="https://www.legis.iowa.gov/docs/ico/chapter/153.pdf" Type="http://schemas.openxmlformats.org/officeDocument/2006/relationships/hyperlink" Id="rId10"/>
    <Relationship TargetMode="External" Target="https://www.legis.iowa.gov/docs/iac/chapter/481.577.pdf" Type="http://schemas.openxmlformats.org/officeDocument/2006/relationships/hyperlink" Id="rId11"/>
    <Relationship TargetMode="External" Target="https://www.legis.iowa.gov/docs/iac/rule/481.574.11.pdf" Type="http://schemas.openxmlformats.org/officeDocument/2006/relationships/hyperlink" Id="rId12"/>
    <Relationship TargetMode="External" Target="https://www.legis.iowa.gov/docs/iac/rule/481.572.10.pdf" Type="http://schemas.openxmlformats.org/officeDocument/2006/relationships/hyperlink" Id="rId13"/>
    <Relationship TargetMode="External" Target="https://www.legis.iowa.gov/docs/iac/rule/481.579.1.pdf" Type="http://schemas.openxmlformats.org/officeDocument/2006/relationships/hyperlink" Id="rId14"/>
    <Relationship TargetMode="External" Target="https://www.legis.iowa.gov/docs/iac/chapter/481.577.pdf" Type="http://schemas.openxmlformats.org/officeDocument/2006/relationships/hyperlink" Id="rId15"/>
    <Relationship TargetMode="External" Target="https://www.legis.iowa.gov/docs/iac/rule/481.574.11.pdf" Type="http://schemas.openxmlformats.org/officeDocument/2006/relationships/hyperlink" Id="rId16"/>
    <Relationship TargetMode="External" Target="https://www.legis.iowa.gov/docs/ico/chapter/153.15.pdf" Type="http://schemas.openxmlformats.org/officeDocument/2006/relationships/hyperlink" Id="rId17"/>
    <Relationship TargetMode="External" Target="https://www.legis.iowa.gov/docs/ico/chapter/153.15.pdf" Type="http://schemas.openxmlformats.org/officeDocument/2006/relationships/hyperlink" Id="rId18"/>
    <Relationship TargetMode="External" Target="https://www.legis.iowa.gov/docs/ico/chapter/147.10.pdf" Type="http://schemas.openxmlformats.org/officeDocument/2006/relationships/hyperlink" Id="rId19"/>
    <Relationship TargetMode="External" Target="https://www.legis.iowa.gov/docs/ico/chapter/153.15.pdf" Type="http://schemas.openxmlformats.org/officeDocument/2006/relationships/hyperlink" Id="rId20"/>
    <Relationship TargetMode="External" Target="https://www.legis.iowa.gov/docs/ico/chapter/153.14.pdf" Type="http://schemas.openxmlformats.org/officeDocument/2006/relationships/hyperlink" Id="rId21"/>
    <Relationship TargetMode="External" Target="https://www.legis.iowa.gov/docs/ico/chapter/153.15.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