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572</w:t>
      </w:r>
    </w:p>
    <w:p>
      <w:pPr>
        <w:spacing w:before="0" w:after="0"/>
        <w:ind w:left="120"/>
        <w:jc w:val="center"/>
      </w:pPr>
      <w:r>
        <w:rPr>
          <w:rFonts w:ascii="Times New Roman" w:hAnsi="Times New Roman"/>
          <w:b w:val="false"/>
          <w:i w:val="false"/>
          <w:color w:val="000000"/>
          <w:sz w:val="21"/>
        </w:rPr>
        <w:t xml:space="preserve">DENTAL LICENSURE, REGISTRATION, </w:t>
      </w:r>
      <w:r>
        <w:br/>
      </w:r>
      <w:r>
        <w:rPr>
          <w:rFonts w:ascii="Times New Roman" w:hAnsi="Times New Roman"/>
          <w:b w:val="false"/>
          <w:i w:val="false"/>
          <w:color w:val="000000"/>
          <w:sz w:val="21"/>
        </w:rPr>
        <w:t>RENEWAL, REACTIVATION AND REINSTATEMENT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481—572.1</w:t>
      </w:r>
      <w:r>
        <w:rPr>
          <w:rFonts w:ascii="Times New Roman" w:hAnsi="Times New Roman"/>
          <w:b/>
          <w:i w:val="false"/>
          <w:color w:val="000000"/>
          <w:sz w:val="22"/>
        </w:rPr>
        <w:t xml:space="preserve">(147,153) </w:t>
      </w:r>
      <w:r>
        <w:rPr>
          <w:rFonts w:ascii="Times New Roman" w:hAnsi="Times New Roman"/>
          <w:b/>
          <w:i w:val="false"/>
          <w:color w:val="000000"/>
          <w:sz w:val="22"/>
        </w:rPr>
        <w:t xml:space="preserve">Applicant responsibilities. </w:t>
      </w:r>
      <w:r>
        <w:rPr>
          <w:rFonts w:ascii="Times New Roman" w:hAnsi="Times New Roman"/>
          <w:b w:val="false"/>
          <w:i w:val="false"/>
          <w:color w:val="000000"/>
          <w:sz w:val="22"/>
        </w:rPr>
        <w:t>Applicants for licensure, permit, registration or qualification, including applicants for renewal, reactivation and reinstatement, bear full responsibility for complying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w:t>
      </w:r>
      <w:r>
        <w:rPr>
          <w:rFonts w:ascii="Times New Roman" w:hAnsi="Times New Roman"/>
          <w:b w:val="false"/>
          <w:i w:val="false"/>
          <w:color w:val="000000"/>
          <w:sz w:val="22"/>
        </w:rPr>
        <w:t> </w:t>
      </w:r>
      <w:r>
        <w:rPr>
          <w:rFonts w:ascii="Times New Roman" w:hAnsi="Times New Roman"/>
          <w:b w:val="false"/>
          <w:i w:val="false"/>
          <w:color w:val="000000"/>
          <w:sz w:val="22"/>
        </w:rPr>
        <w:t>Applicants will make application on forms provided by the department and submit the required information and documentation,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applicable fees required by this chapter pursuant to </w:t>
      </w:r>
      <w:hyperlink r:id="rId5">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which may also include fees charged by other agencies, organizations, or institutions to provide the information required to complete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evidence of current certification in cardiopulmonary resuscitation (CPR) that included a hands-on component unless exempted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a detailed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including but not limited to prior professional experience, education, training, examination scores,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Signing and verifying the application as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w:t>
      </w:r>
      <w:r>
        <w:rPr>
          <w:rFonts w:ascii="Times New Roman" w:hAnsi="Times New Roman"/>
          <w:b w:val="false"/>
          <w:i w:val="false"/>
          <w:color w:val="000000"/>
          <w:sz w:val="22"/>
        </w:rPr>
        <w:t> </w:t>
      </w:r>
      <w:r>
        <w:rPr>
          <w:rFonts w:ascii="Times New Roman" w:hAnsi="Times New Roman"/>
          <w:b w:val="false"/>
          <w:i w:val="false"/>
          <w:color w:val="000000"/>
          <w:sz w:val="22"/>
        </w:rPr>
        <w:t>An application for a dental or dental hygiene license or faculty permit, including reactivation of a license, may be considered complete prior to completion of the criminal history background check on the applicant conducted by the division of criminal investigation (DCI) or Federal Bureau of Investigation (FBI) for purposes of review and consideration by the executive director, the committee, or the board. However, an applicant is required to submit an additional completed fingerprint packet and fee within 30 days of a request by the department if an earlier fingerprint submission has been determined to be unacceptable by the DCI or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license, permit, registration, or qualification applies within four months of the date of expiration, the applicant may pay the renewal fee in addition to the applicable application fees specified in </w:t>
      </w:r>
      <w:hyperlink r:id="rId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Payment of the renewal fee at the time of application will result in the renewal of the license, permit, registration or qualification upon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w:t>
      </w:r>
      <w:r>
        <w:rPr>
          <w:rFonts w:ascii="Times New Roman" w:hAnsi="Times New Roman"/>
          <w:b w:val="false"/>
          <w:i w:val="false"/>
          <w:color w:val="000000"/>
          <w:sz w:val="22"/>
        </w:rPr>
        <w:t> </w:t>
      </w:r>
      <w:r>
        <w:rPr>
          <w:rFonts w:ascii="Times New Roman" w:hAnsi="Times New Roman"/>
          <w:b w:val="false"/>
          <w:i w:val="false"/>
          <w:color w:val="000000"/>
          <w:sz w:val="22"/>
        </w:rPr>
        <w:t>Applicants must ensure that an application for initial license, permit, registration or qualification, or for reinstatement or reactivation of the same, is completed within 180 days from the date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establishing timely filing, the postmark on a paper submittal will be used, and for applications submitted online, the electronic timestamp of the date of payment will be deemed the date of filing. If the applicant does not submit all required materials within this time period, or if the applicant does not meet the requirements for the license, permit, registration, reinstatement or reactivation, the application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application is considered incomplete, the applicant will need to submit a new application and pay all applicable fees for further consideration.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272C.12A</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w:t>
      </w:r>
      <w:r>
        <w:rPr>
          <w:rFonts w:ascii="Times New Roman" w:hAnsi="Times New Roman"/>
          <w:b/>
          <w:i w:val="false"/>
          <w:color w:val="000000"/>
          <w:sz w:val="22"/>
        </w:rPr>
        <w:t xml:space="preserve">(147,153) </w:t>
      </w:r>
      <w:r>
        <w:rPr>
          <w:rFonts w:ascii="Times New Roman" w:hAnsi="Times New Roman"/>
          <w:b/>
          <w:i w:val="false"/>
          <w:color w:val="000000"/>
          <w:sz w:val="22"/>
        </w:rPr>
        <w:t xml:space="preserve">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executive director as authorized by the board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the application to the committee for review and consideration for matters including but not limited to prior criminal history pursuant to Iowa Code section </w:t>
      </w:r>
      <w:hyperlink r:id="rId12">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chemical dependence, competency, physical or psychological illness, malpractice claims or settlements, or professional disciplinary history that are relevant in determining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executive director,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executive director to issue the license, permit, registration,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Forward the application to the board for further review and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572.2(3)</w:t>
      </w:r>
      <w:r>
        <w:rPr>
          <w:rFonts w:ascii="Times New Roman" w:hAnsi="Times New Roman"/>
          <w:b w:val="false"/>
          <w:i w:val="false"/>
          <w:color w:val="000000"/>
          <w:sz w:val="22"/>
        </w:rPr>
        <w:t> </w:t>
      </w:r>
      <w:r>
        <w:rPr>
          <w:rFonts w:ascii="Times New Roman" w:hAnsi="Times New Roman"/>
          <w:b w:val="false"/>
          <w:i w:val="false"/>
          <w:color w:val="000000"/>
          <w:sz w:val="22"/>
        </w:rPr>
        <w:t>Following board review and consideration of an application,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registration or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other action in accordance with rule </w:t>
      </w:r>
      <w:hyperlink r:id="rId13">
        <w:r>
          <w:rPr>
            <w:rStyle w:val="Hyperlink"/>
            <w:rFonts w:ascii="Times New Roman" w:hAnsi="Times New Roman"/>
            <w:b w:val="false"/>
            <w:i w:val="false"/>
            <w:color w:val="000000"/>
            <w:sz w:val="22"/>
          </w:rPr>
          <w:t>481—572.22</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572.2(4)</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require an applicant to appear for an interview as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defer final decision making on an application if there is a pending investigation or disciplinary action against an applicant who may otherwise meet the requirements for license, permit, registration or qualification, until such time as the matter has been resolved.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481—572.3</w:t>
      </w:r>
      <w:r>
        <w:rPr>
          <w:rFonts w:ascii="Times New Roman" w:hAnsi="Times New Roman"/>
          <w:b/>
          <w:i w:val="false"/>
          <w:color w:val="000000"/>
          <w:sz w:val="22"/>
        </w:rPr>
        <w:t xml:space="preserve">(147,153)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572.3(1)</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to practice dentistry or dental hygiene in this state who meet the requirements of this rule may be eligible for a license on the basis of examination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have held a license issued in another state, district or territory for one year or longer must apply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are licensed in another jurisdiction and who are unable to satisfy the requirements for licensure by examination or credentials may be eligible for licensure by verification pursuant to rule </w:t>
      </w:r>
      <w:hyperlink r:id="rId17">
        <w:r>
          <w:rPr>
            <w:rStyle w:val="Hyperlink"/>
            <w:rFonts w:ascii="Times New Roman" w:hAnsi="Times New Roman"/>
            <w:b w:val="false"/>
            <w:i w:val="false"/>
            <w:color w:val="000000"/>
            <w:sz w:val="22"/>
          </w:rPr>
          <w:t>481—572.7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on the basis of examination or credentials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dental or dental hygiene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for dental license must have been issued a doctor of dental surgery (DDS) or doctor of medicine in dentistry (DMD)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Graduates of foreign dental schools who have not obtained a DDS or DMD degree from an accredited dental school shall also satisfy the requirements of rule </w:t>
      </w:r>
      <w:hyperlink r:id="rId18">
        <w:r>
          <w:rPr>
            <w:rStyle w:val="Hyperlink"/>
            <w:rFonts w:ascii="Times New Roman" w:hAnsi="Times New Roman"/>
            <w:b w:val="false"/>
            <w:i w:val="false"/>
            <w:color w:val="000000"/>
            <w:sz w:val="22"/>
          </w:rPr>
          <w:t>481—572.4</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by an authorized representative of the school that the applicant was a student in good standing while attending that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examination administered by the Joint Commission on National Dental Examinations (JCNDE). Applicants who have lawfully practiced dentistry or dental hygiene in another state, district or territory for five or more years are exempt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passage of a board-approved clinical examination pursuant to rule </w:t>
      </w:r>
      <w:hyperlink r:id="rId19">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 and a statement of all other clinical examinations taken by the applicant with an indication of pass/fail for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on the basis of examination must have successfully completed the clinical examination within five years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who have lawfully practiced dentistry or dental hygiene in another state, district or territory for five or more years may be exempt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all licenses issued to the applicant. The certification should include, at a minimum, the name, license number, status, expiration date, and an indication of whether the applicant has been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application fees, including the background check fee, as specified in </w:t>
      </w:r>
      <w:hyperlink r:id="rId2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completed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jurisprudence examination pursuant to rule </w:t>
      </w:r>
      <w:hyperlink r:id="rId21">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572.3(3)</w:t>
      </w:r>
      <w:r>
        <w:rPr>
          <w:rFonts w:ascii="Times New Roman" w:hAnsi="Times New Roman"/>
          <w:b w:val="false"/>
          <w:i w:val="false"/>
          <w:color w:val="000000"/>
          <w:sz w:val="22"/>
        </w:rPr>
        <w:t> </w:t>
      </w:r>
      <w:r>
        <w:rPr>
          <w:rFonts w:ascii="Times New Roman" w:hAnsi="Times New Roman"/>
          <w:b w:val="false"/>
          <w:i w:val="false"/>
          <w:color w:val="000000"/>
          <w:sz w:val="22"/>
        </w:rPr>
        <w:t>Applicants on the basis of credentials must also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153.21</w:t>
        </w:r>
      </w:hyperlink>
      <w:r>
        <w:rPr>
          <w:rFonts w:ascii="Times New Roman" w:hAnsi="Times New Roman"/>
          <w:b w:val="false"/>
          <w:i w:val="false"/>
          <w:color w:val="000000"/>
          <w:sz w:val="22"/>
        </w:rPr>
        <w:t>, 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license in another state, district, or territory under requirements substantially similar to those of this state, and has three consecutive years of lawful practice immediately prior to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within the previous five-year period of a board-approved clinical examination pursuant to rule </w:t>
      </w:r>
      <w:hyperlink r:id="rId23">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572.3(4)</w:t>
      </w:r>
      <w:r>
        <w:rPr>
          <w:rFonts w:ascii="Times New Roman" w:hAnsi="Times New Roman"/>
          <w:b w:val="false"/>
          <w:i w:val="false"/>
          <w:color w:val="000000"/>
          <w:sz w:val="22"/>
        </w:rPr>
        <w:t> </w:t>
      </w:r>
      <w:r>
        <w:rPr>
          <w:rFonts w:ascii="Times New Roman" w:hAnsi="Times New Roman"/>
          <w:b w:val="false"/>
          <w:i w:val="false"/>
          <w:color w:val="000000"/>
          <w:sz w:val="22"/>
        </w:rPr>
        <w:t>The board or committee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chapters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481—572.4</w:t>
      </w:r>
      <w:r>
        <w:rPr>
          <w:rFonts w:ascii="Times New Roman" w:hAnsi="Times New Roman"/>
          <w:b/>
          <w:i w:val="false"/>
          <w:color w:val="000000"/>
          <w:sz w:val="22"/>
        </w:rPr>
        <w:t xml:space="preserve">(153) </w:t>
      </w:r>
      <w:r>
        <w:rPr>
          <w:rFonts w:ascii="Times New Roman" w:hAnsi="Times New Roman"/>
          <w:b/>
          <w:i w:val="false"/>
          <w:color w:val="000000"/>
          <w:sz w:val="22"/>
        </w:rPr>
        <w:t xml:space="preserve">Graduates of foreign dental schools. </w:t>
      </w:r>
      <w:r>
        <w:rPr>
          <w:rFonts w:ascii="Times New Roman" w:hAnsi="Times New Roman"/>
          <w:b w:val="false"/>
          <w:i w:val="false"/>
          <w:color w:val="000000"/>
          <w:sz w:val="22"/>
        </w:rPr>
        <w:t xml:space="preserve">If a graduate of a foreign dental school does not meet the educational requirements for a license by examination or credentials, and does not qualify for licensure by verification pursuant to Iowa Code section </w:t>
      </w:r>
      <w:hyperlink r:id="rId2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the applicant must meet the requirements of this rule in addition to meeting the other requirements for licensure specified in rule </w:t>
      </w:r>
      <w:hyperlink r:id="rId28">
        <w:r>
          <w:rPr>
            <w:rStyle w:val="Hyperlink"/>
            <w:rFonts w:ascii="Times New Roman" w:hAnsi="Times New Roman"/>
            <w:b w:val="false"/>
            <w:i w:val="false"/>
            <w:color w:val="000000"/>
            <w:sz w:val="22"/>
          </w:rPr>
          <w:t>481—572.3</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of graduates of foreign dental schools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dental education that is substantially equivalent to a DDS or DMD degree issued by an accredited school. The applicant may demonstrate this by meeting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an undergraduate supplemental dental education program of at least two academic years at an accredited dental school and receipt of a dental diploma, degree or certificate substantially equivalent to a DDS or DMD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postgraduate general practice residency program of at least one academic year at an accredited dental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a formal evaluation of the applicant’s foreign dental education by a board-approved professional credentialing organization. The results of the evaluation must indicate that the nonaccredited dental education completed was substantially equivalent to that of an accredited dental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official transcript verifying graduation from the foreign dental school at which the applicant originally obtained a dental degree. If the transcript is written in a language other than English, an original, official translation will also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when applicable, from the appropriate governmental authority that the applicant was licensed or otherwise authorized by law to practice dentistry in another country and that no adverse action was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to the satisfaction of the board an ability to read, write, speak, understand, and be understood in the English language. The applicant may demonstrate English proficiency by achieving a score sufficient to be rated in the highest level of ability on each section of the Test of English as a Foreign Language (TOEFL) as administered by the Educational Testing Service (ETS), or other evidence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572.4(2)</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who is a graduate of a foreign dental school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practiced dentistry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chapters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481—572.5</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572.5(1)</w:t>
      </w:r>
      <w:r>
        <w:rPr>
          <w:rFonts w:ascii="Times New Roman" w:hAnsi="Times New Roman"/>
          <w:b w:val="false"/>
          <w:i w:val="false"/>
          <w:color w:val="000000"/>
          <w:sz w:val="22"/>
        </w:rPr>
        <w:t> </w:t>
      </w:r>
      <w:r>
        <w:rPr>
          <w:rFonts w:ascii="Times New Roman" w:hAnsi="Times New Roman"/>
          <w:b w:val="false"/>
          <w:i w:val="false"/>
          <w:color w:val="000000"/>
          <w:sz w:val="22"/>
        </w:rPr>
        <w:t>Applications for dental assistant registration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board-approved education and training. Education and clinical training may be satisfied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experience as a dental assistant trainee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experience as a dental assistant in another state, district or territory within five years prior to the date of application and competency is verified by the supervising dentist;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dental assisting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as specified in </w:t>
      </w:r>
      <w:hyperlink r:id="rId3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board-approved examination in the areas of infection control, hazardous materials, and jurisprudence as specified in rules </w:t>
      </w:r>
      <w:hyperlink r:id="rId33">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 xml:space="preserve">(147,153) and </w:t>
      </w:r>
      <w:hyperlink r:id="rId34">
        <w:r>
          <w:rPr>
            <w:rStyle w:val="Hyperlink"/>
            <w:rFonts w:ascii="Times New Roman" w:hAnsi="Times New Roman"/>
            <w:b w:val="false"/>
            <w:i w:val="false"/>
            <w:color w:val="000000"/>
            <w:sz w:val="22"/>
          </w:rPr>
          <w:t>481—572.16</w:t>
        </w:r>
      </w:hyperlink>
      <w:r>
        <w:rPr>
          <w:rFonts w:ascii="Times New Roman" w:hAnsi="Times New Roman"/>
          <w:b w:val="false"/>
          <w:i w:val="false"/>
          <w:color w:val="000000"/>
          <w:sz w:val="22"/>
        </w:rPr>
        <w:t>(147,153), and dental radiography, if the applicant is also applying for a qualification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requirements of rule </w:t>
      </w:r>
      <w:hyperlink r:id="rId35">
        <w:r>
          <w:rPr>
            <w:rStyle w:val="Hyperlink"/>
            <w:rFonts w:ascii="Times New Roman" w:hAnsi="Times New Roman"/>
            <w:b w:val="false"/>
            <w:i w:val="false"/>
            <w:color w:val="000000"/>
            <w:sz w:val="22"/>
          </w:rPr>
          <w:t>481—572.6</w:t>
        </w:r>
      </w:hyperlink>
      <w:r>
        <w:rPr>
          <w:rFonts w:ascii="Times New Roman" w:hAnsi="Times New Roman"/>
          <w:b w:val="false"/>
          <w:i w:val="false"/>
          <w:color w:val="000000"/>
          <w:sz w:val="22"/>
        </w:rPr>
        <w:t>(136C,153) if the applicant intends to engage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who is licensed or registered in another jurisdiction but who is unable to satisfy the requirements for registration in this rule may be eligible to apply for registration by verification pursuant to rule </w:t>
      </w:r>
      <w:hyperlink r:id="rId36">
        <w:r>
          <w:rPr>
            <w:rStyle w:val="Hyperlink"/>
            <w:rFonts w:ascii="Times New Roman" w:hAnsi="Times New Roman"/>
            <w:b w:val="false"/>
            <w:i w:val="false"/>
            <w:color w:val="000000"/>
            <w:sz w:val="22"/>
          </w:rPr>
          <w:t>481—572.7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481—572.6</w:t>
      </w:r>
      <w:r>
        <w:rPr>
          <w:rFonts w:ascii="Times New Roman" w:hAnsi="Times New Roman"/>
          <w:b/>
          <w:i w:val="false"/>
          <w:color w:val="000000"/>
          <w:sz w:val="22"/>
        </w:rPr>
        <w:t xml:space="preserve">(136C,153) </w:t>
      </w:r>
      <w:r>
        <w:rPr>
          <w:rFonts w:ascii="Times New Roman" w:hAnsi="Times New Roman"/>
          <w:b/>
          <w:i w:val="false"/>
          <w:color w:val="000000"/>
          <w:sz w:val="22"/>
        </w:rPr>
        <w:t xml:space="preserve">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a radiography qualification must also be a dental assistant pursuant to Iowa Code chapter </w:t>
      </w:r>
      <w:hyperlink r:id="rId4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hold an active license issued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572.6(2)</w:t>
      </w:r>
      <w:r>
        <w:rPr>
          <w:rFonts w:ascii="Times New Roman" w:hAnsi="Times New Roman"/>
          <w:b w:val="false"/>
          <w:i w:val="false"/>
          <w:color w:val="000000"/>
          <w:sz w:val="22"/>
        </w:rPr>
        <w:t> </w:t>
      </w:r>
      <w:r>
        <w:rPr>
          <w:rFonts w:ascii="Times New Roman" w:hAnsi="Times New Roman"/>
          <w:b w:val="false"/>
          <w:i w:val="false"/>
          <w:color w:val="000000"/>
          <w:sz w:val="22"/>
        </w:rPr>
        <w:t>Applications for dental radiography qualification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previous five years, of education and clinical training in the area of dental radiography. The education and clinical training may be satisfied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on-the-job training in dental radiography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as a dental assistant in another state that included clinical experience taking dental radiographs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dental assisting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Dental Assisting National Board (DANB) that includes dental radiography and was issued within five years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as specified in </w:t>
      </w:r>
      <w:hyperlink r:id="rId4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a board-approved examination in the area of dental radiography in accordance with rule </w:t>
      </w:r>
      <w:hyperlink r:id="rId42">
        <w:r>
          <w:rPr>
            <w:rStyle w:val="Hyperlink"/>
            <w:rFonts w:ascii="Times New Roman" w:hAnsi="Times New Roman"/>
            <w:b w:val="false"/>
            <w:i w:val="false"/>
            <w:color w:val="000000"/>
            <w:sz w:val="22"/>
          </w:rPr>
          <w:t>481—572.16</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481—572.7</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or registration by verification. </w:t>
      </w:r>
      <w:r>
        <w:rPr>
          <w:rFonts w:ascii="Times New Roman" w:hAnsi="Times New Roman"/>
          <w:b w:val="false"/>
          <w:i w:val="false"/>
          <w:color w:val="000000"/>
          <w:sz w:val="22"/>
        </w:rPr>
        <w:t xml:space="preserve">Applicants may be eligible for licensure or registration by verification pursuant to Iowa Code section </w:t>
      </w:r>
      <w:hyperlink r:id="rId4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Applicants are required to hold a current license or registration in the same profession in at least one other jurisdiction that has a scope or practice that is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572.7(1)</w:t>
      </w:r>
      <w:r>
        <w:rPr>
          <w:rFonts w:ascii="Times New Roman" w:hAnsi="Times New Roman"/>
          <w:b w:val="false"/>
          <w:i w:val="false"/>
          <w:color w:val="000000"/>
          <w:sz w:val="22"/>
        </w:rPr>
        <w:t> </w:t>
      </w:r>
      <w:r>
        <w:rPr>
          <w:rFonts w:ascii="Times New Roman" w:hAnsi="Times New Roman"/>
          <w:b w:val="false"/>
          <w:i w:val="false"/>
          <w:color w:val="000000"/>
          <w:sz w:val="22"/>
        </w:rPr>
        <w:t>Applications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application fees, including the background check fee for applicants of a dental or dental hygiene license, as specified in </w:t>
      </w:r>
      <w:hyperlink r:id="rId4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dental or dental hygiene applicants, a completed packet to facilitate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or registration, verifying that the applicant’s license or registration in that jurisdiction complies with the requirements of Iowa Code section </w:t>
      </w:r>
      <w:hyperlink r:id="rId4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jurisprudence examination, pursuant to rule </w:t>
      </w:r>
      <w:hyperlink r:id="rId48">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572.7(2)</w:t>
      </w:r>
      <w:r>
        <w:rPr>
          <w:rFonts w:ascii="Times New Roman" w:hAnsi="Times New Roman"/>
          <w:b w:val="false"/>
          <w:i w:val="false"/>
          <w:color w:val="000000"/>
          <w:sz w:val="22"/>
        </w:rPr>
        <w:t>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nor deny a license or registration until the matter is resolved. A person who has had a license or registration revoked, or voluntarily surrendered a license or registration, in another jurisdiction is ineligible for licensure or registration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572.7(3)</w:t>
      </w:r>
      <w:r>
        <w:rPr>
          <w:rFonts w:ascii="Times New Roman" w:hAnsi="Times New Roman"/>
          <w:b w:val="false"/>
          <w:i w:val="false"/>
          <w:color w:val="000000"/>
          <w:sz w:val="22"/>
        </w:rPr>
        <w:t>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nor deny a license or registration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572.7(4)</w:t>
      </w:r>
      <w:r>
        <w:rPr>
          <w:rFonts w:ascii="Times New Roman" w:hAnsi="Times New Roman"/>
          <w:b w:val="false"/>
          <w:i w:val="false"/>
          <w:color w:val="000000"/>
          <w:sz w:val="22"/>
        </w:rPr>
        <w:t> </w:t>
      </w:r>
      <w:r>
        <w:rPr>
          <w:rFonts w:ascii="Times New Roman" w:hAnsi="Times New Roman"/>
          <w:b w:val="false"/>
          <w:i w:val="false"/>
          <w:color w:val="000000"/>
          <w:sz w:val="22"/>
        </w:rPr>
        <w:t>Applicants who satisfy all requirements for a license or registration under this rule except for passing the jurisprudence examination may be issued a temporary license or registration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or registration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temporary license or registration may be renewed once for an additional period of three months if the applicant has not failed the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licensee or registrant shall display the board-issued license or registration renewal card that indicates the license or registration is temporary, which will satisfy the requirements in rule </w:t>
      </w:r>
      <w:hyperlink r:id="rId49">
        <w:r>
          <w:rPr>
            <w:rStyle w:val="Hyperlink"/>
            <w:rFonts w:ascii="Times New Roman" w:hAnsi="Times New Roman"/>
            <w:b w:val="false"/>
            <w:i w:val="false"/>
            <w:color w:val="000000"/>
            <w:sz w:val="22"/>
          </w:rPr>
          <w:t>481—574.2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licensee or registrant must submit proof of passing the jurisprudence examination before the temporary license or registration expires. When the temporary licensee or registrant submits proof of passing the jurisprudence examination, the temporary license or registration will convert to a standard license or registration and be assigned an expiration date consistent with standard licenses or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or registrant does not submit proof of passing the jurisprudence examination prior to the expiration of the temporary license or registration, the temporary licensee or registrant must cease practice until a standard license or registration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481—572.8</w:t>
      </w:r>
      <w:r>
        <w:rPr>
          <w:rFonts w:ascii="Times New Roman" w:hAnsi="Times New Roman"/>
          <w:b/>
          <w:i w:val="false"/>
          <w:color w:val="000000"/>
          <w:sz w:val="22"/>
        </w:rPr>
        <w:t xml:space="preserve">(153) </w:t>
      </w:r>
      <w:r>
        <w:rPr>
          <w:rFonts w:ascii="Times New Roman" w:hAnsi="Times New Roman"/>
          <w:b/>
          <w:i w:val="false"/>
          <w:color w:val="000000"/>
          <w:sz w:val="22"/>
        </w:rPr>
        <w:t xml:space="preserve">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572.8(1)</w:t>
      </w:r>
      <w:r>
        <w:rPr>
          <w:rFonts w:ascii="Times New Roman" w:hAnsi="Times New Roman"/>
          <w:b w:val="false"/>
          <w:i w:val="false"/>
          <w:color w:val="000000"/>
          <w:sz w:val="22"/>
        </w:rPr>
        <w:t> </w:t>
      </w:r>
      <w:r>
        <w:rPr>
          <w:rFonts w:ascii="Times New Roman" w:hAnsi="Times New Roman"/>
          <w:b w:val="false"/>
          <w:i w:val="false"/>
          <w:color w:val="000000"/>
          <w:sz w:val="22"/>
        </w:rPr>
        <w:t>A dentist or dental hygienist seeking permission to practice as a resident, intern or graduate student at an accredited teaching or educational institution offering advanced education courses may apply for a resident license in lieu of a permanent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572.8(2)</w:t>
      </w:r>
      <w:r>
        <w:rPr>
          <w:rFonts w:ascii="Times New Roman" w:hAnsi="Times New Roman"/>
          <w:b w:val="false"/>
          <w:i w:val="false"/>
          <w:color w:val="000000"/>
          <w:sz w:val="22"/>
        </w:rPr>
        <w:t> </w:t>
      </w:r>
      <w:r>
        <w:rPr>
          <w:rFonts w:ascii="Times New Roman" w:hAnsi="Times New Roman"/>
          <w:b w:val="false"/>
          <w:i w:val="false"/>
          <w:color w:val="000000"/>
          <w:sz w:val="22"/>
        </w:rPr>
        <w:t>Applicants for a resident license are exempt from providing evidence of current CPR certification. Applications for resident license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from the dean or designated administrative officer of the accredited school confirming enrollment as a resident, intern or graduate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that includes the anticipated date of completion of the program from a dentist who holds an active Iowa license or faculty permit, who proposes to exercise supervision and direction over said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dentistry, dental hygiene, or other school approved by the board or license registration committee as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5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Clinical experience or assessment as evidenced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practiced clinically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572.8(3)</w:t>
      </w:r>
      <w:r>
        <w:rPr>
          <w:rFonts w:ascii="Times New Roman" w:hAnsi="Times New Roman"/>
          <w:b w:val="false"/>
          <w:i w:val="false"/>
          <w:color w:val="000000"/>
          <w:sz w:val="22"/>
        </w:rPr>
        <w:t> </w:t>
      </w:r>
      <w:r>
        <w:rPr>
          <w:rFonts w:ascii="Times New Roman" w:hAnsi="Times New Roman"/>
          <w:b w:val="false"/>
          <w:i w:val="false"/>
          <w:color w:val="000000"/>
          <w:sz w:val="22"/>
        </w:rPr>
        <w:t>If approved, a resident license shall allow the licensee to serve as a resident, intern, or graduate student under the supervision of a licensed or permitted faculty member at an accredited school or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license will expire on the expected date of completion of the resident training program as reported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licensee leaves the institution during the anticipated term of the resident license, the license shall be considered null and void. The director of the resident training program should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license may be extended past the original expected completion date of the training program at the discretion of the board or the license and registration committee as authorized by the board. A licensee who wishes to extend the expiration date of the license shall submit an extension application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explaining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in the amount specified in </w:t>
      </w:r>
      <w:hyperlink r:id="rId5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progress of the resident; the new expected date of completion;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of the resident training program should report any warnings that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resident licensee who changes resident training programs, including the pursuit of another postgraduate degree, shall apply for a new resident license and include a statement from the program director documenting the applicant’s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572.8(4)</w:t>
      </w:r>
      <w:r>
        <w:rPr>
          <w:rFonts w:ascii="Times New Roman" w:hAnsi="Times New Roman"/>
          <w:b w:val="false"/>
          <w:i w:val="false"/>
          <w:color w:val="000000"/>
          <w:sz w:val="22"/>
        </w:rPr>
        <w:t> </w:t>
      </w:r>
      <w:r>
        <w:rPr>
          <w:rFonts w:ascii="Times New Roman" w:hAnsi="Times New Roman"/>
          <w:b w:val="false"/>
          <w:i w:val="false"/>
          <w:color w:val="000000"/>
          <w:sz w:val="22"/>
        </w:rPr>
        <w:t>No examination or continuing education will be required for this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481—572.9</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college and dental hygiene program faculty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faculty permit entitling the holder to practice dentistry or dental hygiene as a faculty member within an accredited school or program and affiliated teaching facilities in lieu of a permanent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572.9(2)</w:t>
      </w:r>
      <w:r>
        <w:rPr>
          <w:rFonts w:ascii="Times New Roman" w:hAnsi="Times New Roman"/>
          <w:b w:val="false"/>
          <w:i w:val="false"/>
          <w:color w:val="000000"/>
          <w:sz w:val="22"/>
        </w:rPr>
        <w:t> </w:t>
      </w:r>
      <w:r>
        <w:rPr>
          <w:rFonts w:ascii="Times New Roman" w:hAnsi="Times New Roman"/>
          <w:b w:val="false"/>
          <w:i w:val="false"/>
          <w:color w:val="000000"/>
          <w:sz w:val="22"/>
        </w:rPr>
        <w:t>Applications for a faculty permit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from the dean or designated administrative officer of the accredited school confirming the employment of the applicant as faculty member who is not licensed to practice dentistry or dental hygiene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fees, including the fingerprint packet and background check fee as specified in </w:t>
      </w:r>
      <w:hyperlink r:id="rId54">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professional qualifications and background of the applicant, including evidence of having graduated from an accredited school or other program approved by the board or the license and registration committee as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completed packet to facilitate the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licensed by another jurisdiction, the applicant shall furnish evidence from the licensing board of that jurisdiction that the applicant is licensed in good standing and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results of a self-query of the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jurisprudence examination pursuant to rule </w:t>
      </w:r>
      <w:hyperlink r:id="rId55">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Clinical experience or assessment as evidenced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practiced clinically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572.9(3)</w:t>
      </w:r>
      <w:r>
        <w:rPr>
          <w:rFonts w:ascii="Times New Roman" w:hAnsi="Times New Roman"/>
          <w:b w:val="false"/>
          <w:i w:val="false"/>
          <w:color w:val="000000"/>
          <w:sz w:val="22"/>
        </w:rPr>
        <w:t> </w:t>
      </w:r>
      <w:r>
        <w:rPr>
          <w:rFonts w:ascii="Times New Roman" w:hAnsi="Times New Roman"/>
          <w:b w:val="false"/>
          <w:i w:val="false"/>
          <w:color w:val="000000"/>
          <w:sz w:val="22"/>
        </w:rPr>
        <w:t>A faculty permit shall expire on August 31 of every even-numbered year and may be renewed on a biennial basis. The faculty permit will be valid so long as the holder remains a faculty member at an accredited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572.9(4)</w:t>
      </w:r>
      <w:r>
        <w:rPr>
          <w:rFonts w:ascii="Times New Roman" w:hAnsi="Times New Roman"/>
          <w:b w:val="false"/>
          <w:i w:val="false"/>
          <w:color w:val="000000"/>
          <w:sz w:val="22"/>
        </w:rPr>
        <w:t> </w:t>
      </w:r>
      <w:r>
        <w:rPr>
          <w:rFonts w:ascii="Times New Roman" w:hAnsi="Times New Roman"/>
          <w:b w:val="false"/>
          <w:i w:val="false"/>
          <w:color w:val="000000"/>
          <w:sz w:val="22"/>
        </w:rPr>
        <w:t xml:space="preserve">A faculty permit may be renewed in accordance with rule </w:t>
      </w:r>
      <w:hyperlink r:id="rId56">
        <w:r>
          <w:rPr>
            <w:rStyle w:val="Hyperlink"/>
            <w:rFonts w:ascii="Times New Roman" w:hAnsi="Times New Roman"/>
            <w:b w:val="false"/>
            <w:i w:val="false"/>
            <w:color w:val="000000"/>
            <w:sz w:val="22"/>
          </w:rPr>
          <w:t>481—572.20</w:t>
        </w:r>
      </w:hyperlink>
      <w:r>
        <w:rPr>
          <w:rFonts w:ascii="Times New Roman" w:hAnsi="Times New Roman"/>
          <w:b w:val="false"/>
          <w:i w:val="false"/>
          <w:color w:val="000000"/>
          <w:sz w:val="22"/>
        </w:rPr>
        <w:t xml:space="preserve">(147,153,272C) and </w:t>
      </w:r>
      <w:hyperlink r:id="rId57">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481—572.10</w:t>
      </w:r>
      <w:r>
        <w:rPr>
          <w:rFonts w:ascii="Times New Roman" w:hAnsi="Times New Roman"/>
          <w:b/>
          <w:i w:val="false"/>
          <w:color w:val="000000"/>
          <w:sz w:val="22"/>
        </w:rPr>
        <w:t xml:space="preserve">(147,153) </w:t>
      </w:r>
      <w:r>
        <w:rPr>
          <w:rFonts w:ascii="Times New Roman" w:hAnsi="Times New Roman"/>
          <w:b/>
          <w:i w:val="false"/>
          <w:color w:val="000000"/>
          <w:sz w:val="22"/>
        </w:rPr>
        <w:t xml:space="preserve">Requirements for issuance and renewal of a local anesthesia permit. </w:t>
      </w:r>
      <w:r>
        <w:rPr>
          <w:rFonts w:ascii="Times New Roman" w:hAnsi="Times New Roman"/>
          <w:b w:val="false"/>
          <w:i w:val="false"/>
          <w:color w:val="000000"/>
          <w:sz w:val="22"/>
        </w:rPr>
        <w:t xml:space="preserve">To administer local anesthesia, a dental hygienist shall hold a current permit pursuant to </w:t>
      </w:r>
      <w:hyperlink r:id="rId59">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572.10(1)</w:t>
      </w:r>
      <w:r>
        <w:rPr>
          <w:rFonts w:ascii="Times New Roman" w:hAnsi="Times New Roman"/>
          <w:b w:val="false"/>
          <w:i w:val="false"/>
          <w:color w:val="000000"/>
          <w:sz w:val="22"/>
        </w:rPr>
        <w:t> </w:t>
      </w:r>
      <w:r>
        <w:rPr>
          <w:rFonts w:ascii="Times New Roman" w:hAnsi="Times New Roman"/>
          <w:b w:val="false"/>
          <w:i w:val="false"/>
          <w:color w:val="000000"/>
          <w:sz w:val="22"/>
        </w:rPr>
        <w:t>Applicants for local anesthesia permits are exempt from providing evidence of current CPR certification. Applications for a local anesthesia permit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local anesthesia permit as specified in </w:t>
      </w:r>
      <w:hyperlink r:id="rId6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within the previous 36 months, of formal training in the administration of local anesthesia that includes training in block and infiltration anesthesia at an accredited school or other training program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within the previous 36 months, of a clinical examination in the administration of local anesthesia by a testing center approved by the board in accordance with rule </w:t>
      </w:r>
      <w:hyperlink r:id="rId61">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applicants who completed training or examination more than 36 months prior to application, evidence of formal training in the administration of local anesthesia and a statement attesting to ongoing practice within the previous 36 months in the administration of local anesthesia in another state or jurisdiction that authorizes a dental hygienist to administer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shall expire on August 31 of every odd-numbered year. To renew the permit, the dental hygienist must submit a timely application for renewal with evidence of holding an active Iowa dental hygiene license and submit the renewal fee as specified in </w:t>
      </w:r>
      <w:hyperlink r:id="rId6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572.10(3)</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requirements for renewal prior to November 1 following the permit’s expiration will cause the permit to lapse and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that has lapsed may be reactivated upon the permit holder’s application for reactivation, payment of the reactivation fee as specified in </w:t>
      </w:r>
      <w:hyperlink r:id="rId6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and evidence of a current Iowa dental hygiene license. A permit that has been lapsed for more than 36 months may be reinstated if the applicant also submits evidence of satisfying the requirements of paragraph </w:t>
      </w:r>
      <w:hyperlink r:id="rId64">
        <w:r>
          <w:rPr>
            <w:rStyle w:val="Hyperlink"/>
            <w:rFonts w:ascii="Times New Roman" w:hAnsi="Times New Roman"/>
            <w:b w:val="false"/>
            <w:i w:val="false"/>
            <w:color w:val="000000"/>
            <w:sz w:val="22"/>
          </w:rPr>
          <w:t>572.10(1)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6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481—572.11</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Requirements for issuance or renewal of a moderate sedation or general anesthesia permit. </w:t>
      </w:r>
      <w:r>
        <w:rPr>
          <w:rFonts w:ascii="Times New Roman" w:hAnsi="Times New Roman"/>
          <w:b w:val="false"/>
          <w:i w:val="false"/>
          <w:color w:val="000000"/>
          <w:sz w:val="22"/>
        </w:rPr>
        <w:t xml:space="preserve">Pursuant to </w:t>
      </w:r>
      <w:hyperlink r:id="rId68">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dentists who wish to utilize moderate sedation, deep sedation, or general anesthesia in Iowa must possess a current permit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572.11(1)</w:t>
      </w:r>
      <w:r>
        <w:rPr>
          <w:rFonts w:ascii="Times New Roman" w:hAnsi="Times New Roman"/>
          <w:b w:val="false"/>
          <w:i w:val="false"/>
          <w:color w:val="000000"/>
          <w:sz w:val="22"/>
        </w:rPr>
        <w:t> </w:t>
      </w:r>
      <w:r>
        <w:rPr>
          <w:rFonts w:ascii="Times New Roman" w:hAnsi="Times New Roman"/>
          <w:b w:val="false"/>
          <w:i w:val="false"/>
          <w:color w:val="000000"/>
          <w:sz w:val="22"/>
        </w:rPr>
        <w:t>Applications for moderate sedation or general anesthesia permits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w:t>
      </w:r>
      <w:hyperlink r:id="rId69">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qualify for a moderate sedation permit, evidence of having successfully completed approved education and training,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60 hours of instruction and management of at least 20 patients, or an accredited residency program that includes formal training and clinical experience in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Rescuing patients from a deeper level of sedation than intended, including managing the airway, intravascular or intraosseous access, and reversal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dentist who intends to administer moderate sedation to pediatric or American Society of Anesthesiologists (ASA) III or IV patients, an accredited residency program that includes formal training in anesthesia and clinical experience in managing pediatric or ASA III or IV patients;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Advanced Cardiac Life Support (ACLS) or Pediatric Advanced Life Support (PALS)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qualify for a general anesthesia permit, evidence of having successfully completed the following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accredited advanced education program that provides training in moderate sedation, deep sedation and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year of advanced training in anesthesiology and related academic subjects beyond the undergraduate dental school level at an accredited advanced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training in airway management;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ACLS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issuance of a new permit, all facilities where the applicant intends to provide sedation services must have passed inspection by the board or designated agent pursuant to </w:t>
      </w:r>
      <w:hyperlink r:id="rId70">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572.11(3)</w:t>
      </w:r>
      <w:r>
        <w:rPr>
          <w:rFonts w:ascii="Times New Roman" w:hAnsi="Times New Roman"/>
          <w:b w:val="false"/>
          <w:i w:val="false"/>
          <w:color w:val="000000"/>
          <w:sz w:val="22"/>
        </w:rPr>
        <w:t> </w:t>
      </w:r>
      <w:r>
        <w:rPr>
          <w:rFonts w:ascii="Times New Roman" w:hAnsi="Times New Roman"/>
          <w:b w:val="false"/>
          <w:i w:val="false"/>
          <w:color w:val="000000"/>
          <w:sz w:val="22"/>
        </w:rPr>
        <w:t>The applicant may be required to complete a peer review evaluation or comply with any additional requirements deemed necessary to determine competency in the administration of moderate sedation, deep sedation, or general anesthesia, if requested by the board or the Anesthesia Credentials Committee (ACC), prior to 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 moderate sedation or general anesthesia permit will be reviewed by the ACC or the board as deemed necessary to ensure compliance with this rule and </w:t>
      </w:r>
      <w:hyperlink r:id="rId71">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xml:space="preserve">. Following review of an application, the ACC or the board may take action, in accordance with rule </w:t>
      </w:r>
      <w:hyperlink r:id="rId72">
        <w:r>
          <w:rPr>
            <w:rStyle w:val="Hyperlink"/>
            <w:rFonts w:ascii="Times New Roman" w:hAnsi="Times New Roman"/>
            <w:b w:val="false"/>
            <w:i w:val="false"/>
            <w:color w:val="000000"/>
            <w:sz w:val="22"/>
          </w:rPr>
          <w:t>481—572.22</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572.11(5)</w:t>
      </w:r>
      <w:r>
        <w:rPr>
          <w:rFonts w:ascii="Times New Roman" w:hAnsi="Times New Roman"/>
          <w:b w:val="false"/>
          <w:i w:val="false"/>
          <w:color w:val="000000"/>
          <w:sz w:val="22"/>
        </w:rPr>
        <w:t> </w:t>
      </w:r>
      <w:r>
        <w:rPr>
          <w:rFonts w:ascii="Times New Roman" w:hAnsi="Times New Roman"/>
          <w:b w:val="false"/>
          <w:i w:val="false"/>
          <w:color w:val="000000"/>
          <w:sz w:val="22"/>
        </w:rPr>
        <w:t>Moderate sedation and general anesthesia permits will expire on August 31 of every even-numbered year. A permit may be renewed by submitting an application for renewal, maintaining an active Iowa dental license or faculty permit, and complying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renewal fee as specified in </w:t>
      </w:r>
      <w:hyperlink r:id="rId7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current ACLS or PALS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a minimum of six hours of continuing education in the area of sedation. These hours may also be applied toward the renewal of a dental license or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572.11(6)</w:t>
      </w:r>
      <w:r>
        <w:rPr>
          <w:rFonts w:ascii="Times New Roman" w:hAnsi="Times New Roman"/>
          <w:b w:val="false"/>
          <w:i w:val="false"/>
          <w:color w:val="000000"/>
          <w:sz w:val="22"/>
        </w:rPr>
        <w:t> </w:t>
      </w:r>
      <w:r>
        <w:rPr>
          <w:rFonts w:ascii="Times New Roman" w:hAnsi="Times New Roman"/>
          <w:b w:val="false"/>
          <w:i w:val="false"/>
          <w:color w:val="000000"/>
          <w:sz w:val="22"/>
        </w:rPr>
        <w:t>Failure to renew the permit prior to November 1 following its expiration will cause the permit to lapse and become invalid for practice. Permits that have lapsed may be reactivated upon submission of a new application in compliance with this rule. Applications for reactivation of a lapsed permit within six months may be administratively approved, so long as the application satisfies the requirements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chapter </w:t>
      </w:r>
      <w:hyperlink r:id="rId7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481—572.12</w:t>
      </w:r>
      <w:r>
        <w:rPr>
          <w:rFonts w:ascii="Times New Roman" w:hAnsi="Times New Roman"/>
          <w:b/>
          <w:i w:val="false"/>
          <w:color w:val="000000"/>
          <w:sz w:val="22"/>
        </w:rPr>
        <w:t xml:space="preserve">(153)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authorizing the permit holder to practice dentistry or dental hygiene on a short-term basis in Iowa at a specific location or locations to fulfill an urgent need, serve an educational purpose, or provide volunteer services. A temporary permit is not meant as a way to practice before a permanent license is granted or as a means to practice because the applicant does not fulfill the requirements for permanent licensure. A temporary permit may be granted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for a specified period up to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may be issued no more than two temporary permits to fulfill an urgent need or serve an educational purpose unless the request is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expires, the need changes or the permit holder wishes to continue in short-term assignments in other Iowa locations, the permit holder will be required to apply for a new temporary permit or seek permanent licensure, except when volunteering dental services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temporary permit to provide volunteer services is restricted to free clinics or dental clinics for nonprofit organizations as described under Section 501(c)(3) of the Internal Revenue Code. Temporary permit holders will not receive compensation for dental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572.12(2)</w:t>
      </w:r>
      <w:r>
        <w:rPr>
          <w:rFonts w:ascii="Times New Roman" w:hAnsi="Times New Roman"/>
          <w:b w:val="false"/>
          <w:i w:val="false"/>
          <w:color w:val="000000"/>
          <w:sz w:val="22"/>
        </w:rPr>
        <w:t> </w:t>
      </w:r>
      <w:r>
        <w:rPr>
          <w:rFonts w:ascii="Times New Roman" w:hAnsi="Times New Roman"/>
          <w:b w:val="false"/>
          <w:i w:val="false"/>
          <w:color w:val="000000"/>
          <w:sz w:val="22"/>
        </w:rPr>
        <w:t>Applications for a temporary permit to fulfill an urgent need or serve an educational purpose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with a DDS or DMD degree for applicants seeking a temporary permit to practice dentistry, or satisfactory evidence of graduation from an accredited dental hygiene school for applicants seeking a temporary permit to practice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temporary permit to fulfill an urgent need or serve an educational purpose as specified in </w:t>
      </w:r>
      <w:hyperlink r:id="rId78">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state board of dentistry, or equivalent authority, from a state in which the applicant has been licensed and practicing for at least three years immediately preceding the date of application. Applicants who have been the subject of final or pending disciplinary action may not be eligible for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that at least one license was issued on the basis of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request from those individuals or organizations seeking the applicant’s services that establishes, to the board’s satisfaction, justification for the temporary permit, the dates the applicant’s services are needed, and the location or locations where those services will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572.12(3)</w:t>
      </w:r>
      <w:r>
        <w:rPr>
          <w:rFonts w:ascii="Times New Roman" w:hAnsi="Times New Roman"/>
          <w:b w:val="false"/>
          <w:i w:val="false"/>
          <w:color w:val="000000"/>
          <w:sz w:val="22"/>
        </w:rPr>
        <w:t> </w:t>
      </w:r>
      <w:r>
        <w:rPr>
          <w:rFonts w:ascii="Times New Roman" w:hAnsi="Times New Roman"/>
          <w:b w:val="false"/>
          <w:i w:val="false"/>
          <w:color w:val="000000"/>
          <w:sz w:val="22"/>
        </w:rPr>
        <w:t>Applications for temporary permits to provide volunteer services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contact information of the applicant; the location of the free clinic or dental clinic for a nonprofit organization; and the dates on which the volunteer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certification of license (or substantially similar document) from the appropriate licensing board of the applicant’s primary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statement disclosing any pending disciplinary actions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seeking the temporary permit that the applicant will practice only in a free dental clinic or dental clinic for a nonprofit organization and that the applicant will not receive compensation directly or indirectly for providing dental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481—572.13</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Retired volunteer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572.13(1)</w:t>
      </w:r>
      <w:r>
        <w:rPr>
          <w:rFonts w:ascii="Times New Roman" w:hAnsi="Times New Roman"/>
          <w:b w:val="false"/>
          <w:i w:val="false"/>
          <w:color w:val="000000"/>
          <w:sz w:val="22"/>
        </w:rPr>
        <w:t> </w:t>
      </w:r>
      <w:r>
        <w:rPr>
          <w:rFonts w:ascii="Times New Roman" w:hAnsi="Times New Roman"/>
          <w:b w:val="false"/>
          <w:i w:val="false"/>
          <w:color w:val="000000"/>
          <w:sz w:val="22"/>
        </w:rPr>
        <w:t>Upon application and qualification, the board may issue a retired volunteer license to a dentist or dental hygienist who has retired from the practice of dentistry or dental hygiene to enable the dentist or dental hygienist to provide volunteer dental or dental hygiene services without remuneration. A person holding a retired volunteer license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charge a fee or receive compensation in any form from any person or third-party payer, including but not limited to an insurance company, health plan, or state or federal benefit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Cannot prescribe, administer, or dispense prescription drugs and all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all rules and regulations governing the practice of dentistry or dental hygiene except those related to the payment of fees, license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572.13(2)</w:t>
      </w:r>
      <w:r>
        <w:rPr>
          <w:rFonts w:ascii="Times New Roman" w:hAnsi="Times New Roman"/>
          <w:b w:val="false"/>
          <w:i w:val="false"/>
          <w:color w:val="000000"/>
          <w:sz w:val="22"/>
        </w:rPr>
        <w:t> </w:t>
      </w:r>
      <w:r>
        <w:rPr>
          <w:rFonts w:ascii="Times New Roman" w:hAnsi="Times New Roman"/>
          <w:b w:val="false"/>
          <w:i w:val="false"/>
          <w:color w:val="000000"/>
          <w:sz w:val="22"/>
        </w:rPr>
        <w:t>Applicants for a retired volunteer license are exempted from providing evidence of current CPR certification. Applications for retired volunteer licenses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that the applicant has retired from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Satisfactory evidence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an active dental or dental hygiene license within the previous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sufficient knowledge and skill to practice safely and competently if the applicant has not held an active dental or dental hygiene license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572.13(3)</w:t>
      </w:r>
      <w:r>
        <w:rPr>
          <w:rFonts w:ascii="Times New Roman" w:hAnsi="Times New Roman"/>
          <w:b w:val="false"/>
          <w:i w:val="false"/>
          <w:color w:val="000000"/>
          <w:sz w:val="22"/>
        </w:rPr>
        <w:t> </w:t>
      </w:r>
      <w:r>
        <w:rPr>
          <w:rFonts w:ascii="Times New Roman" w:hAnsi="Times New Roman"/>
          <w:b w:val="false"/>
          <w:i w:val="false"/>
          <w:color w:val="000000"/>
          <w:sz w:val="22"/>
        </w:rPr>
        <w:t>The board will not charge an application or licensing fee for issuance of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572.13(4)</w:t>
      </w:r>
      <w:r>
        <w:rPr>
          <w:rFonts w:ascii="Times New Roman" w:hAnsi="Times New Roman"/>
          <w:b w:val="false"/>
          <w:i w:val="false"/>
          <w:color w:val="000000"/>
          <w:sz w:val="22"/>
        </w:rPr>
        <w:t> </w:t>
      </w:r>
      <w:r>
        <w:rPr>
          <w:rFonts w:ascii="Times New Roman" w:hAnsi="Times New Roman"/>
          <w:b w:val="false"/>
          <w:i w:val="false"/>
          <w:color w:val="000000"/>
          <w:sz w:val="22"/>
        </w:rPr>
        <w:t>An applicant who has surrendered, resigned, converted, or allowed a license to lapse or expire as the result of or in lieu of disciplinary action is not eligible for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572.13(5)</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valid for 12 months from the date of issuance, at which time it expires and becomes invalid. A retired volunteer license holder whose license has become invalid is prohibited from the practice of dentistry or dental hygiene until a new retired volunteer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572.13(6)</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not considered to be an active license to practice dentistry or dental hygiene and cannot be converted to any regular license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572.13(7)</w:t>
      </w:r>
      <w:r>
        <w:rPr>
          <w:rFonts w:ascii="Times New Roman" w:hAnsi="Times New Roman"/>
          <w:b w:val="false"/>
          <w:i w:val="false"/>
          <w:color w:val="000000"/>
          <w:sz w:val="22"/>
        </w:rPr>
        <w:t> </w:t>
      </w:r>
      <w:r>
        <w:rPr>
          <w:rFonts w:ascii="Times New Roman" w:hAnsi="Times New Roman"/>
          <w:b w:val="false"/>
          <w:i w:val="false"/>
          <w:color w:val="000000"/>
          <w:sz w:val="22"/>
        </w:rPr>
        <w:t>A person holding an inactive Iowa dental or dental hygiene license may also hold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572.13(8)</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will notify the board of any change in name or home address within seven days of the change. A copy of a certified marriage license or copy of certified court documents is required for proof of a name change.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481—572.14</w:t>
      </w:r>
      <w:r>
        <w:rPr>
          <w:rFonts w:ascii="Times New Roman" w:hAnsi="Times New Roman"/>
          <w:b/>
          <w:i w:val="false"/>
          <w:color w:val="000000"/>
          <w:sz w:val="22"/>
        </w:rPr>
        <w:t xml:space="preserve">(147,153) </w:t>
      </w:r>
      <w:r>
        <w:rPr>
          <w:rFonts w:ascii="Times New Roman" w:hAnsi="Times New Roman"/>
          <w:b/>
          <w:i w:val="false"/>
          <w:color w:val="000000"/>
          <w:sz w:val="22"/>
        </w:rPr>
        <w:t xml:space="preserve">Clinical examination required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1">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the board and dental hygiene committee will approve examinations for the purposes of licensure. Applicants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Examinees must meet the requirements for testing and follow procedures established by each respective testing agency. Examinees must take all parts offered by the respective testing agency, including the periodontal scaling component for dental examinees if offered by the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examinee must attain a passing score on each clinical and written portion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pursuant to rule </w:t>
      </w:r>
      <w:hyperlink r:id="rId82">
        <w:r>
          <w:rPr>
            <w:rStyle w:val="Hyperlink"/>
            <w:rFonts w:ascii="Times New Roman" w:hAnsi="Times New Roman"/>
            <w:b w:val="false"/>
            <w:i w:val="false"/>
            <w:color w:val="000000"/>
            <w:sz w:val="22"/>
          </w:rPr>
          <w:t>481—572.3</w:t>
        </w:r>
      </w:hyperlink>
      <w:r>
        <w:rPr>
          <w:rFonts w:ascii="Times New Roman" w:hAnsi="Times New Roman"/>
          <w:b w:val="false"/>
          <w:i w:val="false"/>
          <w:color w:val="000000"/>
          <w:sz w:val="22"/>
        </w:rPr>
        <w:t>(147,153) must provide evidence of successful completion of a board-approved clinical examination unless exempted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572.14(2)</w:t>
      </w:r>
      <w:r>
        <w:rPr>
          <w:rFonts w:ascii="Times New Roman" w:hAnsi="Times New Roman"/>
          <w:b w:val="false"/>
          <w:i w:val="false"/>
          <w:color w:val="000000"/>
          <w:sz w:val="22"/>
        </w:rPr>
        <w:t> </w:t>
      </w:r>
      <w:r>
        <w:rPr>
          <w:rFonts w:ascii="Times New Roman" w:hAnsi="Times New Roman"/>
          <w:b w:val="false"/>
          <w:i w:val="false"/>
          <w:color w:val="000000"/>
          <w:sz w:val="22"/>
        </w:rPr>
        <w:t>For the purposes of licensure, the board accepts patient-based and simulated clinical examinations administered by the testing agencies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Central Regional Dental Testing Service, Inc. (CRDTS);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CDCA-WREB-CITA, which was previously the Commission on Dental Competency Assessments (CDCA), the Western Regional Examining Board (WREB), and the Council of Interstate Testing Agencies, Inc. (CITA);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Resources for Testing and Assessments (SRTA), previously known as the Southern Regional Testing Agency, Inc.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572.14(3)</w:t>
      </w:r>
      <w:r>
        <w:rPr>
          <w:rFonts w:ascii="Times New Roman" w:hAnsi="Times New Roman"/>
          <w:b w:val="false"/>
          <w:i w:val="false"/>
          <w:color w:val="000000"/>
          <w:sz w:val="22"/>
        </w:rPr>
        <w:t> </w:t>
      </w:r>
      <w:r>
        <w:rPr>
          <w:rFonts w:ascii="Times New Roman" w:hAnsi="Times New Roman"/>
          <w:b w:val="false"/>
          <w:i w:val="false"/>
          <w:color w:val="000000"/>
          <w:sz w:val="22"/>
        </w:rPr>
        <w:t>The board on its own motion may monitor or review any clinical examinations already approved by the board. Upon evidence that a clinical examination fails to satisfactorily demonstrate clinical competency to practice dentistry or dental hygiene, the board may revoke the approval of a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572.14(4)</w:t>
      </w:r>
      <w:r>
        <w:rPr>
          <w:rFonts w:ascii="Times New Roman" w:hAnsi="Times New Roman"/>
          <w:b w:val="false"/>
          <w:i w:val="false"/>
          <w:color w:val="000000"/>
          <w:sz w:val="22"/>
        </w:rPr>
        <w:t> </w:t>
      </w:r>
      <w:r>
        <w:rPr>
          <w:rFonts w:ascii="Times New Roman" w:hAnsi="Times New Roman"/>
          <w:b w:val="false"/>
          <w:i w:val="false"/>
          <w:color w:val="000000"/>
          <w:sz w:val="22"/>
        </w:rPr>
        <w:t>For the purposes of counting examination failures, the board and dental hygiene committee may utilize policies adopted by each respective testing agency. An examinee will only need to retake those parts of the examination that the examinee failed. However, an examinee who has not passed all parts of the examination within the time frame specified by the testing agency may be required to retake the entire examination at the discretion of the testing agency. The examinee should refer to the policies of the testing agency to determine applicable standards and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572.14(5)</w:t>
      </w:r>
      <w:r>
        <w:rPr>
          <w:rFonts w:ascii="Times New Roman" w:hAnsi="Times New Roman"/>
          <w:b w:val="false"/>
          <w:i w:val="false"/>
          <w:color w:val="000000"/>
          <w:sz w:val="22"/>
        </w:rPr>
        <w:t> </w:t>
      </w:r>
      <w:r>
        <w:rPr>
          <w:rFonts w:ascii="Times New Roman" w:hAnsi="Times New Roman"/>
          <w:b w:val="false"/>
          <w:i w:val="false"/>
          <w:color w:val="000000"/>
          <w:sz w:val="22"/>
        </w:rPr>
        <w:t>Following a second or subsequent failure, an examinee must complete additional formal education or clinical experience at an accredited school or other program approved by the board. Ongoing education and training completed by the examinee prior to graduation from an accredited school will be accepted for the purposes of remediation. The applicant will provide evidence of remediation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third examination attempt, an examinee must complete additional formal education or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fourth examination attempt, an examinee must successfully complete a minimum of 40 hours of formal education or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subsequent examination attempts, an examinee must successfully complete a minimum of 40 hours of formal education or clinical experience following each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572.14(6)</w:t>
      </w:r>
      <w:r>
        <w:rPr>
          <w:rFonts w:ascii="Times New Roman" w:hAnsi="Times New Roman"/>
          <w:b w:val="false"/>
          <w:i w:val="false"/>
          <w:color w:val="000000"/>
          <w:sz w:val="22"/>
        </w:rPr>
        <w:t> </w:t>
      </w:r>
      <w:r>
        <w:rPr>
          <w:rFonts w:ascii="Times New Roman" w:hAnsi="Times New Roman"/>
          <w:b w:val="false"/>
          <w:i w:val="false"/>
          <w:color w:val="000000"/>
          <w:sz w:val="22"/>
        </w:rPr>
        <w:t>If an examinee applies for an examination after having failed any other state or regional examination, the failure shall be counted for the purposes of retakes.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8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481—572.15</w:t>
      </w:r>
      <w:r>
        <w:rPr>
          <w:rFonts w:ascii="Times New Roman" w:hAnsi="Times New Roman"/>
          <w:b/>
          <w:i w:val="false"/>
          <w:color w:val="000000"/>
          <w:sz w:val="22"/>
        </w:rPr>
        <w:t xml:space="preserve">(147,153) </w:t>
      </w:r>
      <w:r>
        <w:rPr>
          <w:rFonts w:ascii="Times New Roman" w:hAnsi="Times New Roman"/>
          <w:b/>
          <w:i w:val="false"/>
          <w:color w:val="000000"/>
          <w:sz w:val="22"/>
        </w:rPr>
        <w:t xml:space="preserve">Jurisprudence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572.15(1)</w:t>
      </w:r>
      <w:r>
        <w:rPr>
          <w:rFonts w:ascii="Times New Roman" w:hAnsi="Times New Roman"/>
          <w:b w:val="false"/>
          <w:i w:val="false"/>
          <w:color w:val="000000"/>
          <w:sz w:val="22"/>
        </w:rPr>
        <w:t> </w:t>
      </w:r>
      <w:r>
        <w:rPr>
          <w:rFonts w:ascii="Times New Roman" w:hAnsi="Times New Roman"/>
          <w:b w:val="false"/>
          <w:i w:val="false"/>
          <w:color w:val="000000"/>
          <w:sz w:val="22"/>
        </w:rPr>
        <w:t>An applicant for a dental or dental hygiene license, faculty permit, or registration as a dental assistant must successfully complete a board-approved examination in the area of Iowa jurisprudence with a minimum score of 75 percent. An examinee may be required to meet such other requirements as may be imposed by the board’s approved testing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572.15(2)</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schools or programs located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that include a posttest examination and that have been approved by the board.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9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481—572.16</w:t>
      </w:r>
      <w:r>
        <w:rPr>
          <w:rFonts w:ascii="Times New Roman" w:hAnsi="Times New Roman"/>
          <w:b/>
          <w:i w:val="false"/>
          <w:color w:val="000000"/>
          <w:sz w:val="22"/>
        </w:rPr>
        <w:t xml:space="preserve">(147,153) </w:t>
      </w:r>
      <w:r>
        <w:rPr>
          <w:rFonts w:ascii="Times New Roman" w:hAnsi="Times New Roman"/>
          <w:b/>
          <w:i w:val="false"/>
          <w:color w:val="000000"/>
          <w:sz w:val="22"/>
        </w:rPr>
        <w:t xml:space="preserve">Examinations for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dental assistant registration must successfully complete examinations as required pursuant to rule </w:t>
      </w:r>
      <w:hyperlink r:id="rId95">
        <w:r>
          <w:rPr>
            <w:rStyle w:val="Hyperlink"/>
            <w:rFonts w:ascii="Times New Roman" w:hAnsi="Times New Roman"/>
            <w:b w:val="false"/>
            <w:i w:val="false"/>
            <w:color w:val="000000"/>
            <w:sz w:val="22"/>
          </w:rPr>
          <w:t>481—572.5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radiography qualification must successfully complete the examination as required pursuant to rule </w:t>
      </w:r>
      <w:hyperlink r:id="rId96">
        <w:r>
          <w:rPr>
            <w:rStyle w:val="Hyperlink"/>
            <w:rFonts w:ascii="Times New Roman" w:hAnsi="Times New Roman"/>
            <w:b w:val="false"/>
            <w:i w:val="false"/>
            <w:color w:val="000000"/>
            <w:sz w:val="22"/>
          </w:rPr>
          <w:t>481—572.6</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572.16(3)</w:t>
      </w:r>
      <w:r>
        <w:rPr>
          <w:rFonts w:ascii="Times New Roman" w:hAnsi="Times New Roman"/>
          <w:b w:val="false"/>
          <w:i w:val="false"/>
          <w:color w:val="000000"/>
          <w:sz w:val="22"/>
        </w:rPr>
        <w:t> </w:t>
      </w:r>
      <w:r>
        <w:rPr>
          <w:rFonts w:ascii="Times New Roman" w:hAnsi="Times New Roman"/>
          <w:b w:val="false"/>
          <w:i w:val="false"/>
          <w:color w:val="000000"/>
          <w:sz w:val="22"/>
        </w:rPr>
        <w:t>An applicant may complete a single comprehensive examination or complete separate board-approved examinations in the required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DANB’s Infection Control Examination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DANB’s Radiation Health and Safety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schools’ dental assisting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that include posttest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on the board-approved examinations will be considered successful completion of the examination. The board also accepts the passing standard established by the DANB for applicants who take the ICE or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examinee may be required to meet such other requirements as may be imposed by the board’s approved testing locations.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10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481—572.17</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Renewal of a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572.17(1)</w:t>
      </w:r>
      <w:r>
        <w:rPr>
          <w:rFonts w:ascii="Times New Roman" w:hAnsi="Times New Roman"/>
          <w:b w:val="false"/>
          <w:i w:val="false"/>
          <w:color w:val="000000"/>
          <w:sz w:val="22"/>
        </w:rPr>
        <w:t> </w:t>
      </w:r>
      <w:r>
        <w:rPr>
          <w:rFonts w:ascii="Times New Roman" w:hAnsi="Times New Roman"/>
          <w:b w:val="false"/>
          <w:i w:val="false"/>
          <w:color w:val="000000"/>
          <w:sz w:val="22"/>
        </w:rPr>
        <w:t>To continue practicing in Iowa, a license, permit, registration, or qualification must be renewed prior to its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hygiene licenses, local anesthesia permits, dental assistant registrations, and dental radiography qualifications expire on August 31 of every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licenses, faculty permits, moderate sedation permits, and general anesthesia permits expire August 31 of every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email a renewal notice to each licensee, registrant and permit holder at the most recent email address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registrant, or permit holder is responsible for successfully completing renewal prior to the license’s, registration’s or permit’s expiration. Failure to receive the renewal notice does not eliminate the responsibility for submitting a timely-filed renewal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applications are not considered timely and complete until received by the department and accompanied by all material required for renewal and all applicable fees. Incomplete applications will not be issued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572.17(3)</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including a penalty for late renewal when applicable, as specified in </w:t>
      </w:r>
      <w:hyperlink r:id="rId10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must accompany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registrants, and permit holders are required to complete continuing education in accordance with </w:t>
      </w:r>
      <w:hyperlink r:id="rId104">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unless claiming a permissible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572.17(4)</w:t>
      </w:r>
      <w:r>
        <w:rPr>
          <w:rFonts w:ascii="Times New Roman" w:hAnsi="Times New Roman"/>
          <w:b w:val="false"/>
          <w:i w:val="false"/>
          <w:color w:val="000000"/>
          <w:sz w:val="22"/>
        </w:rPr>
        <w:t> </w:t>
      </w:r>
      <w:r>
        <w:rPr>
          <w:rFonts w:ascii="Times New Roman" w:hAnsi="Times New Roman"/>
          <w:b w:val="false"/>
          <w:i w:val="false"/>
          <w:color w:val="000000"/>
          <w:sz w:val="22"/>
        </w:rPr>
        <w:t>Iowa-licensed nurses applying for renewal of a radiography qualification are exempt from providing evidence of current CPR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147.25</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0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481—572.18</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nonrenewal. </w:t>
      </w:r>
      <w:r>
        <w:rPr>
          <w:rFonts w:ascii="Times New Roman" w:hAnsi="Times New Roman"/>
          <w:b w:val="false"/>
          <w:i w:val="false"/>
          <w:color w:val="000000"/>
          <w:sz w:val="22"/>
        </w:rPr>
        <w:t>The board may refuse to renew a license, registration, permit or qualification on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proper notice and hearing for a violation of these rules or Iowa Code chapter </w:t>
      </w:r>
      <w:hyperlink r:id="rId1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w:t>
      </w:r>
      <w:hyperlink r:id="rId1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572.18(2)</w:t>
      </w:r>
      <w:r>
        <w:rPr>
          <w:rFonts w:ascii="Times New Roman" w:hAnsi="Times New Roman"/>
          <w:b w:val="false"/>
          <w:i w:val="false"/>
          <w:color w:val="000000"/>
          <w:sz w:val="22"/>
        </w:rPr>
        <w:t> </w:t>
      </w:r>
      <w:r>
        <w:rPr>
          <w:rFonts w:ascii="Times New Roman" w:hAnsi="Times New Roman"/>
          <w:b w:val="false"/>
          <w:i w:val="false"/>
          <w:color w:val="000000"/>
          <w:sz w:val="22"/>
        </w:rPr>
        <w:t>Failure to pay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572.18(3)</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572.18(4)</w:t>
      </w:r>
      <w:r>
        <w:rPr>
          <w:rFonts w:ascii="Times New Roman" w:hAnsi="Times New Roman"/>
          <w:b w:val="false"/>
          <w:i w:val="false"/>
          <w:color w:val="000000"/>
          <w:sz w:val="22"/>
        </w:rPr>
        <w:t> </w:t>
      </w:r>
      <w:r>
        <w:rPr>
          <w:rFonts w:ascii="Times New Roman" w:hAnsi="Times New Roman"/>
          <w:b w:val="false"/>
          <w:i w:val="false"/>
          <w:color w:val="000000"/>
          <w:sz w:val="22"/>
        </w:rPr>
        <w:t>Failure to maintain current certification in CPR that includes a hands-on component, or ACLS or PALS certification when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572.18(5)</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department of health and human services in accordance with </w:t>
      </w:r>
      <w:hyperlink r:id="rId11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153.31</w:t>
        </w:r>
      </w:hyperlink>
      <w:r>
        <w:rPr>
          <w:rFonts w:ascii="Times New Roman" w:hAnsi="Times New Roman"/>
          <w:b w:val="false"/>
          <w:i w:val="false"/>
          <w:color w:val="000000"/>
          <w:sz w:val="22"/>
        </w:rPr>
        <w:t xml:space="preserve"> and chapters </w:t>
      </w:r>
      <w:hyperlink r:id="rId1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481—572.19</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Late renewal. </w:t>
      </w:r>
      <w:r>
        <w:rPr>
          <w:rFonts w:ascii="Times New Roman" w:hAnsi="Times New Roman"/>
          <w:b w:val="false"/>
          <w:i w:val="false"/>
          <w:color w:val="000000"/>
          <w:sz w:val="22"/>
        </w:rPr>
        <w:t xml:space="preserve">Failure to renew a license, permit, registration or qualification prior to the expiration date will result in the assessment of a late fee in the amount specified in </w:t>
      </w:r>
      <w:hyperlink r:id="rId119">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September 1 following expiration will result in the assessment of a late fee in the amount specified in </w:t>
      </w:r>
      <w:hyperlink r:id="rId12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October 1 following expiration will result in the assessment of a late fee in the amount specified in </w:t>
      </w:r>
      <w:hyperlink r:id="rId12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November 1 following expiration will cause the license, permit, registration, or qualification to lapse and become invalid. A licensee, permit holder, or registrant whose license, permit, registration, or qualification has lapsed is prohibited from the practice of dentistry, dental hygiene, dental assisting or dental radiography until the license, permit, registration or qualification is reinstated in accordance with rule </w:t>
      </w:r>
      <w:hyperlink r:id="rId122">
        <w:r>
          <w:rPr>
            <w:rStyle w:val="Hyperlink"/>
            <w:rFonts w:ascii="Times New Roman" w:hAnsi="Times New Roman"/>
            <w:b w:val="false"/>
            <w:i w:val="false"/>
            <w:color w:val="000000"/>
            <w:sz w:val="22"/>
          </w:rPr>
          <w:t>481—571.20</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481—572.20</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Reinstatement or reactivation of a lapsed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572.20(1)</w:t>
      </w:r>
      <w:r>
        <w:rPr>
          <w:rFonts w:ascii="Times New Roman" w:hAnsi="Times New Roman"/>
          <w:b w:val="false"/>
          <w:i w:val="false"/>
          <w:color w:val="000000"/>
          <w:sz w:val="22"/>
        </w:rPr>
        <w:t> </w:t>
      </w:r>
      <w:r>
        <w:rPr>
          <w:rFonts w:ascii="Times New Roman" w:hAnsi="Times New Roman"/>
          <w:b w:val="false"/>
          <w:i w:val="false"/>
          <w:color w:val="000000"/>
          <w:sz w:val="22"/>
        </w:rPr>
        <w:t>A lapsed license, permit, registration or qualification may be reactivated at the discretion of the board.  Applications for reactivation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reactivation application fee plus one past-due renewal fee as specified in </w:t>
      </w:r>
      <w:hyperlink r:id="rId12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reactivation of a lapsed dental or dental hygiene license, a completed criminal history background packet, including the fee as specified in </w:t>
      </w:r>
      <w:hyperlink r:id="rId127">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to facilitate a criminal history background check by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completion of continuing education required for renewal in accordance with </w:t>
      </w:r>
      <w:hyperlink r:id="rId128">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that has not been previously reported to the board, or evidence of the full- or part-time practice of the profession in another state, district or territory for a minimum of two years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licensed or registered in another state, district or territory, certification by the licensing authority of the license or registration status and that the licensee or registrant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detailed statement disclosing any disciplinary actions, investigations, claims, complaints,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29">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reinstatement, following the revocation, suspension, or acceptance of a voluntary surrender by this board, must comply with any additional stipulations issued by the board prior to the reactivation of the license, registration, permit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572.20(2)</w:t>
      </w:r>
      <w:r>
        <w:rPr>
          <w:rFonts w:ascii="Times New Roman" w:hAnsi="Times New Roman"/>
          <w:b w:val="false"/>
          <w:i w:val="false"/>
          <w:color w:val="000000"/>
          <w:sz w:val="22"/>
        </w:rPr>
        <w:t> </w:t>
      </w:r>
      <w:r>
        <w:rPr>
          <w:rFonts w:ascii="Times New Roman" w:hAnsi="Times New Roman"/>
          <w:b w:val="false"/>
          <w:i w:val="false"/>
          <w:color w:val="000000"/>
          <w:sz w:val="22"/>
        </w:rPr>
        <w:t>The board or dental hygiene committee may require a licensee or registrant who is applying for reactivation, and who has not actively practiced clinically within five years immediately preceding the date of application, to successfully complete a board-approved examination or assessment for the purpose of ensuring that the applicant possesses sufficient knowledge and skill to practice safely.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0">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481—572.21</w:t>
      </w:r>
      <w:r>
        <w:rPr>
          <w:rFonts w:ascii="Times New Roman" w:hAnsi="Times New Roman"/>
          <w:b/>
          <w:i w:val="false"/>
          <w:color w:val="000000"/>
          <w:sz w:val="22"/>
        </w:rPr>
        <w:t xml:space="preserve">(136C,153) </w:t>
      </w:r>
      <w:r>
        <w:rPr>
          <w:rFonts w:ascii="Times New Roman" w:hAnsi="Times New Roman"/>
          <w:b/>
          <w:i w:val="false"/>
          <w:color w:val="000000"/>
          <w:sz w:val="22"/>
        </w:rPr>
        <w:t xml:space="preserve">Reactivation of lapsed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dental assistant or licensed nurse whose radiography qualification has lapsed may have the radiography qualification reactivated at the discretion of the board. In addition to the application requirements specified in rule </w:t>
      </w:r>
      <w:hyperlink r:id="rId133">
        <w:r>
          <w:rPr>
            <w:rStyle w:val="Hyperlink"/>
            <w:rFonts w:ascii="Times New Roman" w:hAnsi="Times New Roman"/>
            <w:b w:val="false"/>
            <w:i w:val="false"/>
            <w:color w:val="000000"/>
            <w:sz w:val="22"/>
          </w:rPr>
          <w:t>481—572.20</w:t>
        </w:r>
      </w:hyperlink>
      <w:r>
        <w:rPr>
          <w:rFonts w:ascii="Times New Roman" w:hAnsi="Times New Roman"/>
          <w:b w:val="false"/>
          <w:i w:val="false"/>
          <w:color w:val="000000"/>
          <w:sz w:val="22"/>
        </w:rPr>
        <w:t>(147,153,272C), applicants for reactivation must also submit evidence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practice as a dental assistant or an Iowa nursing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less than five years, a minimum of two hours of continuing education in the subject area of dental radiography, taken within the previous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more than five years, the applicant has retaken and successfully completed a board-approved examination in dental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radiography qualification issued by another state, district or territory, and a statement detailing the clinical practice in dental radiography in that jurisdiction for a minimum of two years 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572.21(2)</w:t>
      </w:r>
      <w:r>
        <w:rPr>
          <w:rFonts w:ascii="Times New Roman" w:hAnsi="Times New Roman"/>
          <w:b w:val="false"/>
          <w:i w:val="false"/>
          <w:color w:val="000000"/>
          <w:sz w:val="22"/>
        </w:rPr>
        <w:t> </w:t>
      </w:r>
      <w:r>
        <w:rPr>
          <w:rFonts w:ascii="Times New Roman" w:hAnsi="Times New Roman"/>
          <w:b w:val="false"/>
          <w:i w:val="false"/>
          <w:color w:val="000000"/>
          <w:sz w:val="22"/>
        </w:rPr>
        <w:t>Iowa-licensed nurses applying for reactivation of a radiography qualification are exempt from providing evidence of current CPR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147.25</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3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481—572.22</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action against a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572.22(1)</w:t>
      </w:r>
      <w:r>
        <w:rPr>
          <w:rFonts w:ascii="Times New Roman" w:hAnsi="Times New Roman"/>
          <w:b w:val="false"/>
          <w:i w:val="false"/>
          <w:color w:val="000000"/>
          <w:sz w:val="22"/>
        </w:rPr>
        <w:t> </w:t>
      </w:r>
      <w:r>
        <w:rPr>
          <w:rFonts w:ascii="Times New Roman" w:hAnsi="Times New Roman"/>
          <w:b w:val="false"/>
          <w:i w:val="false"/>
          <w:color w:val="000000"/>
          <w:sz w:val="22"/>
        </w:rPr>
        <w:t>Following review of an application, including applications for reinstatement or reactivation, the board may take action against a license, permit, registration or qualification if the board finds that any of the following apply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the subject of disciplinary action taken against a license or registration in another state, district, or territory, and the violations that resulted in such action would also be grounds for discipline in Iowa in accordance with </w:t>
      </w:r>
      <w:hyperlink r:id="rId140">
        <w:r>
          <w:rPr>
            <w:rStyle w:val="Hyperlink"/>
            <w:rFonts w:ascii="Times New Roman" w:hAnsi="Times New Roman"/>
            <w:b w:val="false"/>
            <w:i w:val="false"/>
            <w:color w:val="000000"/>
            <w:sz w:val="22"/>
          </w:rPr>
          <w:t>481—Chapter 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justify the need for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Practiced outside the scope of practice as permitted by Iowa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Found probable cause for any of the grounds for which licensure or registration may be subject to disciplinary action, including revocation or suspension, as specified in Iowa Code chapters </w:t>
      </w:r>
      <w:hyperlink r:id="rId14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481—Chapter 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572.22(2)</w:t>
      </w:r>
      <w:r>
        <w:rPr>
          <w:rFonts w:ascii="Times New Roman" w:hAnsi="Times New Roman"/>
          <w:b w:val="false"/>
          <w:i w:val="false"/>
          <w:color w:val="000000"/>
          <w:sz w:val="22"/>
        </w:rPr>
        <w:t> </w:t>
      </w:r>
      <w:r>
        <w:rPr>
          <w:rFonts w:ascii="Times New Roman" w:hAnsi="Times New Roman"/>
          <w:b w:val="false"/>
          <w:i w:val="false"/>
          <w:color w:val="000000"/>
          <w:sz w:val="22"/>
        </w:rPr>
        <w:t>The board may take action against an applicant for license, permit, registration or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applicable restrictions or sanctions pursuant to rule </w:t>
      </w:r>
      <w:hyperlink r:id="rId145">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(147,153,272C) as a condition of licensure, permit, registration, qualification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 notice of intent to cancel a temporary permit or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a notice of intent to deny issuance or reactivation of a license, permit, registration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Initiate disciplinary action against the license, permit, registration or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Initiate other confidential action as permitted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572.22(3)</w:t>
      </w:r>
      <w:r>
        <w:rPr>
          <w:rFonts w:ascii="Times New Roman" w:hAnsi="Times New Roman"/>
          <w:b w:val="false"/>
          <w:i w:val="false"/>
          <w:color w:val="000000"/>
          <w:sz w:val="22"/>
        </w:rPr>
        <w:t> </w:t>
      </w:r>
      <w:r>
        <w:rPr>
          <w:rFonts w:ascii="Times New Roman" w:hAnsi="Times New Roman"/>
          <w:b w:val="false"/>
          <w:i w:val="false"/>
          <w:color w:val="000000"/>
          <w:sz w:val="22"/>
        </w:rPr>
        <w:t>If the board pursues formal action against an applicant pursuant to this rule, the board will promptly notify the applicant by certified mail at the applicant’s last-known address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4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shall govern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appealing a decision of the board in a contested case is set forth in </w:t>
      </w:r>
      <w:hyperlink r:id="rId14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8986C</w:t>
      </w:r>
      <w:r>
        <w:rPr>
          <w:rFonts w:ascii="Times New Roman" w:hAnsi="Times New Roman"/>
          <w:b w:val="false"/>
          <w:i w:val="false"/>
          <w:color w:val="000000"/>
          <w:sz w:val="21"/>
        </w:rPr>
        <w:t xml:space="preserve"> (Notice ARC 8487C,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1/7/26]</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15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71.pdf" Type="http://schemas.openxmlformats.org/officeDocument/2006/relationships/hyperlink" Id="rId5"/>
    <Relationship TargetMode="External" Target="https://www.legis.iowa.gov/docs/iac/chapter/481.571.pdf" Type="http://schemas.openxmlformats.org/officeDocument/2006/relationships/hyperlink" Id="rId6"/>
    <Relationship TargetMode="External" Target="https://www.legis.iowa.gov/docs/ico/chapter/147.2.pdf" Type="http://schemas.openxmlformats.org/officeDocument/2006/relationships/hyperlink" Id="rId7"/>
    <Relationship TargetMode="External" Target="https://www.legis.iowa.gov/docs/ico/chapter/147.11.pdf" Type="http://schemas.openxmlformats.org/officeDocument/2006/relationships/hyperlink" Id="rId8"/>
    <Relationship TargetMode="External" Target="https://www.legis.iowa.gov/docs/ico/chapter/272C.12.pdf" Type="http://schemas.openxmlformats.org/officeDocument/2006/relationships/hyperlink" Id="rId9"/>
    <Relationship TargetMode="External" Target="https://www.legis.iowa.gov/docs/ico/chapter/272C.12A.pdf" Type="http://schemas.openxmlformats.org/officeDocument/2006/relationships/hyperlink" Id="rId10"/>
    <Relationship TargetMode="External" Target="https://www.legis.iowa.gov/docs/ico/chapter/153.pdf" Type="http://schemas.openxmlformats.org/officeDocument/2006/relationships/hyperlink" Id="rId11"/>
    <Relationship TargetMode="External" Target="https://www.legis.iowa.gov/docs/ico/chapter/272C.15.pdf" Type="http://schemas.openxmlformats.org/officeDocument/2006/relationships/hyperlink" Id="rId12"/>
    <Relationship TargetMode="External" Target="https://www.legis.iowa.gov/docs/iac/rule/481.572.22.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rule/481.572.7.pdf" Type="http://schemas.openxmlformats.org/officeDocument/2006/relationships/hyperlink" Id="rId17"/>
    <Relationship TargetMode="External" Target="https://www.legis.iowa.gov/docs/iac/rule/481.572.4.pdf" Type="http://schemas.openxmlformats.org/officeDocument/2006/relationships/hyperlink" Id="rId18"/>
    <Relationship TargetMode="External" Target="https://www.legis.iowa.gov/docs/iac/rule/481.572.14.pdf" Type="http://schemas.openxmlformats.org/officeDocument/2006/relationships/hyperlink" Id="rId19"/>
    <Relationship TargetMode="External" Target="https://www.legis.iowa.gov/docs/iac/chapter/481.571.pdf" Type="http://schemas.openxmlformats.org/officeDocument/2006/relationships/hyperlink" Id="rId20"/>
    <Relationship TargetMode="External" Target="https://www.legis.iowa.gov/docs/iac/rule/481.572.15.pdf" Type="http://schemas.openxmlformats.org/officeDocument/2006/relationships/hyperlink" Id="rId21"/>
    <Relationship TargetMode="External" Target="https://www.legis.iowa.gov/docs/ico/chapter/153.21.pdf" Type="http://schemas.openxmlformats.org/officeDocument/2006/relationships/hyperlink" Id="rId22"/>
    <Relationship TargetMode="External" Target="https://www.legis.iowa.gov/docs/iac/rule/481.572.14.pdf" Type="http://schemas.openxmlformats.org/officeDocument/2006/relationships/hyperlink" Id="rId23"/>
    <Relationship TargetMode="External" Target="https://www.legis.iowa.gov/docs/ico/chapter/272C.12.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3.pdf" Type="http://schemas.openxmlformats.org/officeDocument/2006/relationships/hyperlink" Id="rId26"/>
    <Relationship TargetMode="External" Target="https://www.legis.iowa.gov/docs/ico/chapter/272C.12.pdf" Type="http://schemas.openxmlformats.org/officeDocument/2006/relationships/hyperlink" Id="rId27"/>
    <Relationship TargetMode="External" Target="https://www.legis.iowa.gov/docs/iac/rule/481.572.3.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3.pdf" Type="http://schemas.openxmlformats.org/officeDocument/2006/relationships/hyperlink" Id="rId31"/>
    <Relationship TargetMode="External" Target="https://www.legis.iowa.gov/docs/iac/chapter/481.571.pdf" Type="http://schemas.openxmlformats.org/officeDocument/2006/relationships/hyperlink" Id="rId32"/>
    <Relationship TargetMode="External" Target="https://www.legis.iowa.gov/docs/iac/rule/481.572.15.pdf" Type="http://schemas.openxmlformats.org/officeDocument/2006/relationships/hyperlink" Id="rId33"/>
    <Relationship TargetMode="External" Target="https://www.legis.iowa.gov/docs/iac/rule/481.572.16.pdf" Type="http://schemas.openxmlformats.org/officeDocument/2006/relationships/hyperlink" Id="rId34"/>
    <Relationship TargetMode="External" Target="https://www.legis.iowa.gov/docs/iac/rule/481.572.6.pdf" Type="http://schemas.openxmlformats.org/officeDocument/2006/relationships/hyperlink" Id="rId35"/>
    <Relationship TargetMode="External" Target="https://www.legis.iowa.gov/docs/iac/rule/481.572.7.pdf" Type="http://schemas.openxmlformats.org/officeDocument/2006/relationships/hyperlink" Id="rId36"/>
    <Relationship TargetMode="External" Target="https://www.legis.iowa.gov/docs/ico/chapter/147.34.pdf" Type="http://schemas.openxmlformats.org/officeDocument/2006/relationships/hyperlink" Id="rId37"/>
    <Relationship TargetMode="External" Target="https://www.legis.iowa.gov/docs/ico/chapter/153.39.pdf" Type="http://schemas.openxmlformats.org/officeDocument/2006/relationships/hyperlink" Id="rId38"/>
    <Relationship TargetMode="External" Target="https://www.legis.iowa.gov/docs/ico/chapter/272C.12.pdf" Type="http://schemas.openxmlformats.org/officeDocument/2006/relationships/hyperlink" Id="rId39"/>
    <Relationship TargetMode="External" Target="https://www.legis.iowa.gov/docs/ico/chapter/153.pdf" Type="http://schemas.openxmlformats.org/officeDocument/2006/relationships/hyperlink" Id="rId40"/>
    <Relationship TargetMode="External" Target="https://www.legis.iowa.gov/docs/iac/chapter/481.571.pdf" Type="http://schemas.openxmlformats.org/officeDocument/2006/relationships/hyperlink" Id="rId41"/>
    <Relationship TargetMode="External" Target="https://www.legis.iowa.gov/docs/iac/rule/481.572.16.pdf" Type="http://schemas.openxmlformats.org/officeDocument/2006/relationships/hyperlink" Id="rId42"/>
    <Relationship TargetMode="External" Target="https://www.legis.iowa.gov/docs/ico/chapter/136C.3.pdf" Type="http://schemas.openxmlformats.org/officeDocument/2006/relationships/hyperlink" Id="rId43"/>
    <Relationship TargetMode="External" Target="https://www.legis.iowa.gov/docs/ico/chapter/153.39.pdf" Type="http://schemas.openxmlformats.org/officeDocument/2006/relationships/hyperlink" Id="rId44"/>
    <Relationship TargetMode="External" Target="https://www.legis.iowa.gov/docs/ico/chapter/272C.12.pdf" Type="http://schemas.openxmlformats.org/officeDocument/2006/relationships/hyperlink" Id="rId45"/>
    <Relationship TargetMode="External" Target="https://www.legis.iowa.gov/docs/iac/chapter/481.571.pdf" Type="http://schemas.openxmlformats.org/officeDocument/2006/relationships/hyperlink" Id="rId46"/>
    <Relationship TargetMode="External" Target="https://www.legis.iowa.gov/docs/ico/chapter/272C.12.pdf" Type="http://schemas.openxmlformats.org/officeDocument/2006/relationships/hyperlink" Id="rId47"/>
    <Relationship TargetMode="External" Target="https://www.legis.iowa.gov/docs/iac/rule/481.572.15.pdf" Type="http://schemas.openxmlformats.org/officeDocument/2006/relationships/hyperlink" Id="rId48"/>
    <Relationship TargetMode="External" Target="https://www.legis.iowa.gov/docs/iac/rule/481.574.2.pdf" Type="http://schemas.openxmlformats.org/officeDocument/2006/relationships/hyperlink" Id="rId49"/>
    <Relationship TargetMode="External" Target="https://www.legis.iowa.gov/docs/ico/chapter/272C.12.pdf" Type="http://schemas.openxmlformats.org/officeDocument/2006/relationships/hyperlink" Id="rId50"/>
    <Relationship TargetMode="External" Target="https://www.legis.iowa.gov/docs/iac/chapter/481.571.pdf" Type="http://schemas.openxmlformats.org/officeDocument/2006/relationships/hyperlink" Id="rId51"/>
    <Relationship TargetMode="External" Target="https://www.legis.iowa.gov/docs/iac/chapter/481.571.pdf" Type="http://schemas.openxmlformats.org/officeDocument/2006/relationships/hyperlink" Id="rId52"/>
    <Relationship TargetMode="External" Target="https://www.legis.iowa.gov/docs/ico/chapter/153.22.pdf" Type="http://schemas.openxmlformats.org/officeDocument/2006/relationships/hyperlink" Id="rId53"/>
    <Relationship TargetMode="External" Target="https://www.legis.iowa.gov/docs/iac/chapter/481.571.pdf" Type="http://schemas.openxmlformats.org/officeDocument/2006/relationships/hyperlink" Id="rId54"/>
    <Relationship TargetMode="External" Target="https://www.legis.iowa.gov/docs/iac/rule/481.572.15.pdf" Type="http://schemas.openxmlformats.org/officeDocument/2006/relationships/hyperlink" Id="rId55"/>
    <Relationship TargetMode="External" Target="https://www.legis.iowa.gov/docs/iac/rule/481.572.20.pdf" Type="http://schemas.openxmlformats.org/officeDocument/2006/relationships/hyperlink" Id="rId56"/>
    <Relationship TargetMode="External" Target="https://www.legis.iowa.gov/docs/iac/chapter/481.573.pdf" Type="http://schemas.openxmlformats.org/officeDocument/2006/relationships/hyperlink" Id="rId57"/>
    <Relationship TargetMode="External" Target="https://www.legis.iowa.gov/docs/ico/chapter/153.37.pdf" Type="http://schemas.openxmlformats.org/officeDocument/2006/relationships/hyperlink" Id="rId58"/>
    <Relationship TargetMode="External" Target="https://www.legis.iowa.gov/docs/iac/chapter/481.576.pdf" Type="http://schemas.openxmlformats.org/officeDocument/2006/relationships/hyperlink" Id="rId59"/>
    <Relationship TargetMode="External" Target="https://www.legis.iowa.gov/docs/iac/chapter/481.571.pdf" Type="http://schemas.openxmlformats.org/officeDocument/2006/relationships/hyperlink" Id="rId60"/>
    <Relationship TargetMode="External" Target="https://www.legis.iowa.gov/docs/iac/rule/481.572.14.pdf" Type="http://schemas.openxmlformats.org/officeDocument/2006/relationships/hyperlink" Id="rId61"/>
    <Relationship TargetMode="External" Target="https://www.legis.iowa.gov/docs/iac/chapter/481.571.pdf" Type="http://schemas.openxmlformats.org/officeDocument/2006/relationships/hyperlink" Id="rId62"/>
    <Relationship TargetMode="External" Target="https://www.legis.iowa.gov/docs/iac/chapter/481.571.pdf" Type="http://schemas.openxmlformats.org/officeDocument/2006/relationships/hyperlink" Id="rId63"/>
    <Relationship TargetMode="External" Target="https://www.legis.iowa.gov/docs/iac/rule/481.572.10.pdf" Type="http://schemas.openxmlformats.org/officeDocument/2006/relationships/hyperlink" Id="rId64"/>
    <Relationship TargetMode="External" Target="https://www.legis.iowa.gov/docs/ico/chapter/147.10.pdf" Type="http://schemas.openxmlformats.org/officeDocument/2006/relationships/hyperlink" Id="rId65"/>
    <Relationship TargetMode="External" Target="https://www.legis.iowa.gov/docs/ico/chapter/147.80.pdf" Type="http://schemas.openxmlformats.org/officeDocument/2006/relationships/hyperlink" Id="rId66"/>
    <Relationship TargetMode="External" Target="https://www.legis.iowa.gov/docs/ico/chapter/153.pdf" Type="http://schemas.openxmlformats.org/officeDocument/2006/relationships/hyperlink" Id="rId67"/>
    <Relationship TargetMode="External" Target="https://www.legis.iowa.gov/docs/iac/chapter/481.579.pdf" Type="http://schemas.openxmlformats.org/officeDocument/2006/relationships/hyperlink" Id="rId68"/>
    <Relationship TargetMode="External" Target="https://www.legis.iowa.gov/docs/iac/chapter/481.571.pdf" Type="http://schemas.openxmlformats.org/officeDocument/2006/relationships/hyperlink" Id="rId69"/>
    <Relationship TargetMode="External" Target="https://www.legis.iowa.gov/docs/iac/chapter/481.579.pdf" Type="http://schemas.openxmlformats.org/officeDocument/2006/relationships/hyperlink" Id="rId70"/>
    <Relationship TargetMode="External" Target="https://www.legis.iowa.gov/docs/iac/chapter/481.579.pdf" Type="http://schemas.openxmlformats.org/officeDocument/2006/relationships/hyperlink" Id="rId71"/>
    <Relationship TargetMode="External" Target="https://www.legis.iowa.gov/docs/iac/rule/481.572.22.pdf" Type="http://schemas.openxmlformats.org/officeDocument/2006/relationships/hyperlink" Id="rId72"/>
    <Relationship TargetMode="External" Target="https://www.legis.iowa.gov/docs/iac/chapter/481.571.pdf" Type="http://schemas.openxmlformats.org/officeDocument/2006/relationships/hyperlink" Id="rId73"/>
    <Relationship TargetMode="External" Target="https://www.legis.iowa.gov/docs/ico/chapter/147.10.pdf" Type="http://schemas.openxmlformats.org/officeDocument/2006/relationships/hyperlink" Id="rId74"/>
    <Relationship TargetMode="External" Target="https://www.legis.iowa.gov/docs/ico/chapter/147.11.pdf" Type="http://schemas.openxmlformats.org/officeDocument/2006/relationships/hyperlink" Id="rId75"/>
    <Relationship TargetMode="External" Target="https://www.legis.iowa.gov/docs/ico/chapter/272C.3.pdf" Type="http://schemas.openxmlformats.org/officeDocument/2006/relationships/hyperlink" Id="rId76"/>
    <Relationship TargetMode="External" Target="https://www.legis.iowa.gov/docs/ico/chapter/153.pdf" Type="http://schemas.openxmlformats.org/officeDocument/2006/relationships/hyperlink" Id="rId77"/>
    <Relationship TargetMode="External" Target="https://www.legis.iowa.gov/docs/iac/chapter/481.571.pdf" Type="http://schemas.openxmlformats.org/officeDocument/2006/relationships/hyperlink" Id="rId78"/>
    <Relationship TargetMode="External" Target="https://www.legis.iowa.gov/docs/ico/chapter/153.19.pdf" Type="http://schemas.openxmlformats.org/officeDocument/2006/relationships/hyperlink" Id="rId79"/>
    <Relationship TargetMode="External" Target="https://www.legis.iowa.gov/docs/ico/chapter/153.23.pdf" Type="http://schemas.openxmlformats.org/officeDocument/2006/relationships/hyperlink" Id="rId80"/>
    <Relationship TargetMode="External" Target="https://www.legis.iowa.gov/docs/ico/chapter/147.34.pdf" Type="http://schemas.openxmlformats.org/officeDocument/2006/relationships/hyperlink" Id="rId81"/>
    <Relationship TargetMode="External" Target="https://www.legis.iowa.gov/docs/iac/rule/481.572.3.pdf" Type="http://schemas.openxmlformats.org/officeDocument/2006/relationships/hyperlink" Id="rId82"/>
    <Relationship TargetMode="External" Target="https://www.legis.iowa.gov/docs/ico/chapter/147.34.pdf" Type="http://schemas.openxmlformats.org/officeDocument/2006/relationships/hyperlink" Id="rId83"/>
    <Relationship TargetMode="External" Target="https://www.legis.iowa.gov/docs/ico/chapter/147.36.pdf" Type="http://schemas.openxmlformats.org/officeDocument/2006/relationships/hyperlink" Id="rId84"/>
    <Relationship TargetMode="External" Target="https://www.legis.iowa.gov/docs/ico/chapter/272C.3.pdf" Type="http://schemas.openxmlformats.org/officeDocument/2006/relationships/hyperlink" Id="rId85"/>
    <Relationship TargetMode="External" Target="https://www.legis.iowa.gov/docs/ico/chapter/272C.9.pdf" Type="http://schemas.openxmlformats.org/officeDocument/2006/relationships/hyperlink" Id="rId86"/>
    <Relationship TargetMode="External" Target="https://www.legis.iowa.gov/docs/ico/chapter/272C.13.pdf" Type="http://schemas.openxmlformats.org/officeDocument/2006/relationships/hyperlink" Id="rId87"/>
    <Relationship TargetMode="External" Target="https://www.legis.iowa.gov/docs/ico/chapter/153.pdf" Type="http://schemas.openxmlformats.org/officeDocument/2006/relationships/hyperlink" Id="rId88"/>
    <Relationship TargetMode="External" Target="https://www.legis.iowa.gov/docs/ico/chapter/147.34.pdf" Type="http://schemas.openxmlformats.org/officeDocument/2006/relationships/hyperlink" Id="rId89"/>
    <Relationship TargetMode="External" Target="https://www.legis.iowa.gov/docs/ico/chapter/147.36.pdf" Type="http://schemas.openxmlformats.org/officeDocument/2006/relationships/hyperlink" Id="rId90"/>
    <Relationship TargetMode="External" Target="https://www.legis.iowa.gov/docs/ico/chapter/272C.3.pdf" Type="http://schemas.openxmlformats.org/officeDocument/2006/relationships/hyperlink" Id="rId91"/>
    <Relationship TargetMode="External" Target="https://www.legis.iowa.gov/docs/ico/chapter/272C.9.pdf" Type="http://schemas.openxmlformats.org/officeDocument/2006/relationships/hyperlink" Id="rId92"/>
    <Relationship TargetMode="External" Target="https://www.legis.iowa.gov/docs/ico/chapter/272C.13.pdf" Type="http://schemas.openxmlformats.org/officeDocument/2006/relationships/hyperlink" Id="rId93"/>
    <Relationship TargetMode="External" Target="https://www.legis.iowa.gov/docs/ico/chapter/153.pdf" Type="http://schemas.openxmlformats.org/officeDocument/2006/relationships/hyperlink" Id="rId94"/>
    <Relationship TargetMode="External" Target="https://www.legis.iowa.gov/docs/iac/rule/481.572.5.pdf" Type="http://schemas.openxmlformats.org/officeDocument/2006/relationships/hyperlink" Id="rId95"/>
    <Relationship TargetMode="External" Target="https://www.legis.iowa.gov/docs/iac/rule/481.572.6.pdf" Type="http://schemas.openxmlformats.org/officeDocument/2006/relationships/hyperlink" Id="rId96"/>
    <Relationship TargetMode="External" Target="https://www.legis.iowa.gov/docs/ico/chapter/147.34.pdf" Type="http://schemas.openxmlformats.org/officeDocument/2006/relationships/hyperlink" Id="rId97"/>
    <Relationship TargetMode="External" Target="https://www.legis.iowa.gov/docs/ico/chapter/147.36.pdf" Type="http://schemas.openxmlformats.org/officeDocument/2006/relationships/hyperlink" Id="rId98"/>
    <Relationship TargetMode="External" Target="https://www.legis.iowa.gov/docs/ico/chapter/272C.3.pdf" Type="http://schemas.openxmlformats.org/officeDocument/2006/relationships/hyperlink" Id="rId99"/>
    <Relationship TargetMode="External" Target="https://www.legis.iowa.gov/docs/ico/chapter/272C.9.pdf" Type="http://schemas.openxmlformats.org/officeDocument/2006/relationships/hyperlink" Id="rId100"/>
    <Relationship TargetMode="External" Target="https://www.legis.iowa.gov/docs/ico/chapter/272C.13.pdf" Type="http://schemas.openxmlformats.org/officeDocument/2006/relationships/hyperlink" Id="rId101"/>
    <Relationship TargetMode="External" Target="https://www.legis.iowa.gov/docs/ico/chapter/153.pdf" Type="http://schemas.openxmlformats.org/officeDocument/2006/relationships/hyperlink" Id="rId102"/>
    <Relationship TargetMode="External" Target="https://www.legis.iowa.gov/docs/iac/chapter/481.571.pdf" Type="http://schemas.openxmlformats.org/officeDocument/2006/relationships/hyperlink" Id="rId103"/>
    <Relationship TargetMode="External" Target="https://www.legis.iowa.gov/docs/iac/chapter/481.573.pdf" Type="http://schemas.openxmlformats.org/officeDocument/2006/relationships/hyperlink" Id="rId104"/>
    <Relationship TargetMode="External" Target="https://www.legis.iowa.gov/docs/ico/chapter/147.10.pdf" Type="http://schemas.openxmlformats.org/officeDocument/2006/relationships/hyperlink" Id="rId105"/>
    <Relationship TargetMode="External" Target="https://www.legis.iowa.gov/docs/ico/chapter/147.25.pdf" Type="http://schemas.openxmlformats.org/officeDocument/2006/relationships/hyperlink" Id="rId106"/>
    <Relationship TargetMode="External" Target="https://www.legis.iowa.gov/docs/ico/chapter/147.80.pdf" Type="http://schemas.openxmlformats.org/officeDocument/2006/relationships/hyperlink" Id="rId107"/>
    <Relationship TargetMode="External" Target="https://www.legis.iowa.gov/docs/ico/chapter/136C.pdf" Type="http://schemas.openxmlformats.org/officeDocument/2006/relationships/hyperlink" Id="rId108"/>
    <Relationship TargetMode="External" Target="https://www.legis.iowa.gov/docs/ico/chapter/153.pdf" Type="http://schemas.openxmlformats.org/officeDocument/2006/relationships/hyperlink" Id="rId109"/>
    <Relationship TargetMode="External" Target="https://www.legis.iowa.gov/docs/ico/chapter/272C.pdf" Type="http://schemas.openxmlformats.org/officeDocument/2006/relationships/hyperlink" Id="rId110"/>
    <Relationship TargetMode="External" Target="https://www.legis.iowa.gov/docs/ico/chapter/147.pdf" Type="http://schemas.openxmlformats.org/officeDocument/2006/relationships/hyperlink" Id="rId111"/>
    <Relationship TargetMode="External" Target="https://www.legis.iowa.gov/docs/ico/chapter/153.pdf" Type="http://schemas.openxmlformats.org/officeDocument/2006/relationships/hyperlink" Id="rId112"/>
    <Relationship TargetMode="External" Target="https://www.legis.iowa.gov/docs/ico/chapter/272C.pdf" Type="http://schemas.openxmlformats.org/officeDocument/2006/relationships/hyperlink" Id="rId113"/>
    <Relationship TargetMode="External" Target="https://www.legis.iowa.gov/docs/iac/chapter/481.8.pdf" Type="http://schemas.openxmlformats.org/officeDocument/2006/relationships/hyperlink" Id="rId114"/>
    <Relationship TargetMode="External" Target="https://www.legis.iowa.gov/docs/ico/chapter/153.31.pdf" Type="http://schemas.openxmlformats.org/officeDocument/2006/relationships/hyperlink" Id="rId115"/>
    <Relationship TargetMode="External" Target="https://www.legis.iowa.gov/docs/ico/chapter/147.pdf" Type="http://schemas.openxmlformats.org/officeDocument/2006/relationships/hyperlink" Id="rId116"/>
    <Relationship TargetMode="External" Target="https://www.legis.iowa.gov/docs/ico/chapter/252J.pdf" Type="http://schemas.openxmlformats.org/officeDocument/2006/relationships/hyperlink" Id="rId117"/>
    <Relationship TargetMode="External" Target="https://www.legis.iowa.gov/docs/ico/chapter/272C.pdf" Type="http://schemas.openxmlformats.org/officeDocument/2006/relationships/hyperlink" Id="rId118"/>
    <Relationship TargetMode="External" Target="https://www.legis.iowa.gov/docs/iac/chapter/481.571.pdf" Type="http://schemas.openxmlformats.org/officeDocument/2006/relationships/hyperlink" Id="rId119"/>
    <Relationship TargetMode="External" Target="https://www.legis.iowa.gov/docs/iac/chapter/481.571.pdf" Type="http://schemas.openxmlformats.org/officeDocument/2006/relationships/hyperlink" Id="rId120"/>
    <Relationship TargetMode="External" Target="https://www.legis.iowa.gov/docs/iac/chapter/481.571.pdf" Type="http://schemas.openxmlformats.org/officeDocument/2006/relationships/hyperlink" Id="rId121"/>
    <Relationship TargetMode="External" Target="https://www.legis.iowa.gov/docs/iac/rule/481.571.20.pdf" Type="http://schemas.openxmlformats.org/officeDocument/2006/relationships/hyperlink" Id="rId122"/>
    <Relationship TargetMode="External" Target="https://www.legis.iowa.gov/docs/ico/chapter/147.10.pdf" Type="http://schemas.openxmlformats.org/officeDocument/2006/relationships/hyperlink" Id="rId123"/>
    <Relationship TargetMode="External" Target="https://www.legis.iowa.gov/docs/ico/chapter/147.11.pdf" Type="http://schemas.openxmlformats.org/officeDocument/2006/relationships/hyperlink" Id="rId124"/>
    <Relationship TargetMode="External" Target="https://www.legis.iowa.gov/docs/ico/chapter/272C.2.pdf" Type="http://schemas.openxmlformats.org/officeDocument/2006/relationships/hyperlink" Id="rId125"/>
    <Relationship TargetMode="External" Target="https://www.legis.iowa.gov/docs/iac/chapter/481.571.pdf" Type="http://schemas.openxmlformats.org/officeDocument/2006/relationships/hyperlink" Id="rId126"/>
    <Relationship TargetMode="External" Target="https://www.legis.iowa.gov/docs/iac/chapter/481.571.pdf" Type="http://schemas.openxmlformats.org/officeDocument/2006/relationships/hyperlink" Id="rId127"/>
    <Relationship TargetMode="External" Target="https://www.legis.iowa.gov/docs/iac/chapter/481.573.pdf" Type="http://schemas.openxmlformats.org/officeDocument/2006/relationships/hyperlink" Id="rId128"/>
    <Relationship TargetMode="External" Target="https://www.legis.iowa.gov/docs/ico/chapter/147.11.pdf" Type="http://schemas.openxmlformats.org/officeDocument/2006/relationships/hyperlink" Id="rId129"/>
    <Relationship TargetMode="External" Target="https://www.legis.iowa.gov/docs/ico/chapter/147.10.pdf" Type="http://schemas.openxmlformats.org/officeDocument/2006/relationships/hyperlink" Id="rId130"/>
    <Relationship TargetMode="External" Target="https://www.legis.iowa.gov/docs/ico/chapter/147.11.pdf" Type="http://schemas.openxmlformats.org/officeDocument/2006/relationships/hyperlink" Id="rId131"/>
    <Relationship TargetMode="External" Target="https://www.legis.iowa.gov/docs/ico/chapter/272C.2.pdf" Type="http://schemas.openxmlformats.org/officeDocument/2006/relationships/hyperlink" Id="rId132"/>
    <Relationship TargetMode="External" Target="https://www.legis.iowa.gov/docs/iac/rule/481.572.20.pdf" Type="http://schemas.openxmlformats.org/officeDocument/2006/relationships/hyperlink" Id="rId133"/>
    <Relationship TargetMode="External" Target="https://www.legis.iowa.gov/docs/ico/chapter/147.10.pdf" Type="http://schemas.openxmlformats.org/officeDocument/2006/relationships/hyperlink" Id="rId134"/>
    <Relationship TargetMode="External" Target="https://www.legis.iowa.gov/docs/ico/chapter/147.25.pdf" Type="http://schemas.openxmlformats.org/officeDocument/2006/relationships/hyperlink" Id="rId135"/>
    <Relationship TargetMode="External" Target="https://www.legis.iowa.gov/docs/ico/chapter/147.80.pdf" Type="http://schemas.openxmlformats.org/officeDocument/2006/relationships/hyperlink" Id="rId136"/>
    <Relationship TargetMode="External" Target="https://www.legis.iowa.gov/docs/ico/chapter/136C.pdf" Type="http://schemas.openxmlformats.org/officeDocument/2006/relationships/hyperlink" Id="rId137"/>
    <Relationship TargetMode="External" Target="https://www.legis.iowa.gov/docs/ico/chapter/153.pdf" Type="http://schemas.openxmlformats.org/officeDocument/2006/relationships/hyperlink" Id="rId138"/>
    <Relationship TargetMode="External" Target="https://www.legis.iowa.gov/docs/ico/chapter/272C.pdf" Type="http://schemas.openxmlformats.org/officeDocument/2006/relationships/hyperlink" Id="rId139"/>
    <Relationship TargetMode="External" Target="https://www.legis.iowa.gov/docs/iac/chapter/481.581.pdf" Type="http://schemas.openxmlformats.org/officeDocument/2006/relationships/hyperlink" Id="rId140"/>
    <Relationship TargetMode="External" Target="https://www.legis.iowa.gov/docs/ico/chapter/147.pdf" Type="http://schemas.openxmlformats.org/officeDocument/2006/relationships/hyperlink" Id="rId141"/>
    <Relationship TargetMode="External" Target="https://www.legis.iowa.gov/docs/ico/chapter/153.pdf" Type="http://schemas.openxmlformats.org/officeDocument/2006/relationships/hyperlink" Id="rId142"/>
    <Relationship TargetMode="External" Target="https://www.legis.iowa.gov/docs/ico/chapter/272C.pdf" Type="http://schemas.openxmlformats.org/officeDocument/2006/relationships/hyperlink" Id="rId143"/>
    <Relationship TargetMode="External" Target="https://www.legis.iowa.gov/docs/iac/chapter/481.581.pdf" Type="http://schemas.openxmlformats.org/officeDocument/2006/relationships/hyperlink" Id="rId144"/>
    <Relationship TargetMode="External" Target="https://www.legis.iowa.gov/docs/iac/rule/481.581.1.pdf" Type="http://schemas.openxmlformats.org/officeDocument/2006/relationships/hyperlink" Id="rId145"/>
    <Relationship TargetMode="External" Target="https://www.legis.iowa.gov/docs/iac/chapter/481.506.pdf" Type="http://schemas.openxmlformats.org/officeDocument/2006/relationships/hyperlink" Id="rId146"/>
    <Relationship TargetMode="External" Target="https://www.legis.iowa.gov/docs/iac/chapter/481.506.pdf" Type="http://schemas.openxmlformats.org/officeDocument/2006/relationships/hyperlink" Id="rId147"/>
    <Relationship TargetMode="External" Target="https://www.legis.iowa.gov/docs/ico/chapter/147.pdf" Type="http://schemas.openxmlformats.org/officeDocument/2006/relationships/hyperlink" Id="rId148"/>
    <Relationship TargetMode="External" Target="https://www.legis.iowa.gov/docs/ico/chapter/153.pdf" Type="http://schemas.openxmlformats.org/officeDocument/2006/relationships/hyperlink" Id="rId149"/>
    <Relationship TargetMode="External" Target="https://www.legis.iowa.gov/docs/ico/chapter/272C.pdf" Type="http://schemas.openxmlformats.org/officeDocument/2006/relationships/hyperlink" Id="rId150"/>
    <Relationship Target="footer.xml" Type="http://schemas.openxmlformats.org/officeDocument/2006/relationships/footer" Id="rId1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