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553</w:t>
      </w:r>
    </w:p>
    <w:p>
      <w:pPr>
        <w:spacing w:before="0" w:after="0"/>
        <w:ind w:left="120"/>
        <w:jc w:val="center"/>
      </w:pPr>
      <w:r>
        <w:rPr>
          <w:rFonts w:ascii="Times New Roman" w:hAnsi="Times New Roman"/>
          <w:b w:val="false"/>
          <w:i w:val="false"/>
          <w:color w:val="000000"/>
          <w:sz w:val="21"/>
        </w:rPr>
        <w:t>CONTROLLED AND PRECURSOR SUBSTANCES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481—553.1</w:t>
      </w:r>
      <w:r>
        <w:rPr>
          <w:rFonts w:ascii="Times New Roman" w:hAnsi="Times New Roman"/>
          <w:b/>
          <w:i w:val="false"/>
          <w:color w:val="000000"/>
          <w:sz w:val="22"/>
        </w:rPr>
        <w:t xml:space="preserve">(124,124B)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481—553.2</w:t>
      </w:r>
      <w:r>
        <w:rPr>
          <w:rFonts w:ascii="Times New Roman" w:hAnsi="Times New Roman"/>
          <w:b/>
          <w:i w:val="false"/>
          <w:color w:val="000000"/>
          <w:sz w:val="22"/>
        </w:rPr>
        <w:t xml:space="preserve">(124,124B)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553.2(1)</w:t>
      </w:r>
      <w:r>
        <w:rPr>
          <w:rFonts w:ascii="Times New Roman" w:hAnsi="Times New Roman"/>
          <w:b w:val="false"/>
          <w:i w:val="false"/>
          <w:color w:val="000000"/>
          <w:sz w:val="22"/>
        </w:rPr>
        <w:t> </w:t>
      </w:r>
      <w:r>
        <w:rPr>
          <w:rFonts w:ascii="Times New Roman" w:hAnsi="Times New Roman"/>
          <w:b w:val="false"/>
          <w:i/>
          <w:color w:val="000000"/>
          <w:sz w:val="22"/>
        </w:rPr>
        <w:t xml:space="preserve">Federal regulations. </w:t>
      </w:r>
      <w:r>
        <w:rPr>
          <w:rFonts w:ascii="Times New Roman" w:hAnsi="Times New Roman"/>
          <w:b w:val="false"/>
          <w:i w:val="false"/>
          <w:color w:val="000000"/>
          <w:sz w:val="22"/>
        </w:rPr>
        <w:t xml:space="preserve">Registrants will comply with applicable federal laws and regulations relating to controlled substances, scheduled listed chemical products, and listed chemicals. 21 CFR Chapter 2 as amended on September 19, 2023, is incorporated herein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 xml:space="preserve">All records relating to controlled and precursor substances will be maintained at the registered or permitted location for at least two years from the last date of the record or entry to the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Electronic records will be capable of producing a hard-copy printout of transactions or entries for any specific date or range of dates requested. All records will be available for inspection and copying by the board or its authorized agent.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 xml:space="preserve">Original records more than 12 months old may be maintained in a secure remote storage area unless such remote storage is prohibited by federal law or regulation. Records maintained in remote storage locations will be retrievable within three business days of a request by the board or its authorized agent.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Receipt. </w:t>
      </w:r>
      <w:r>
        <w:rPr>
          <w:rFonts w:ascii="Times New Roman" w:hAnsi="Times New Roman"/>
          <w:b w:val="false"/>
          <w:i w:val="false"/>
          <w:color w:val="000000"/>
          <w:sz w:val="22"/>
        </w:rPr>
        <w:t xml:space="preserve">In addition to the elements found in </w:t>
      </w:r>
      <w:r>
        <w:rPr>
          <w:rFonts w:ascii="Times New Roman" w:hAnsi="Times New Roman"/>
          <w:b w:val="false"/>
          <w:i w:val="false"/>
          <w:color w:val="000000"/>
          <w:sz w:val="22"/>
        </w:rPr>
        <w:t>21 CFR §1304.21</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§1304.22</w:t>
      </w:r>
      <w:r>
        <w:rPr>
          <w:rFonts w:ascii="Times New Roman" w:hAnsi="Times New Roman"/>
          <w:b w:val="false"/>
          <w:i w:val="false"/>
          <w:color w:val="000000"/>
          <w:sz w:val="22"/>
        </w:rPr>
        <w:t xml:space="preserve">, each record of the receipt of controlled substances, including the receipt of complementary packages, will include the signature of the individual responsible for receiving the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Dispensing. </w:t>
      </w:r>
      <w:r>
        <w:rPr>
          <w:rFonts w:ascii="Times New Roman" w:hAnsi="Times New Roman"/>
          <w:b w:val="false"/>
          <w:i w:val="false"/>
          <w:color w:val="000000"/>
          <w:sz w:val="22"/>
        </w:rPr>
        <w:t xml:space="preserve">In addition to the elements found in Iowa Code section </w:t>
      </w:r>
      <w:hyperlink r:id="rId6">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§1304.22</w:t>
      </w:r>
      <w:r>
        <w:rPr>
          <w:rFonts w:ascii="Times New Roman" w:hAnsi="Times New Roman"/>
          <w:b w:val="false"/>
          <w:i w:val="false"/>
          <w:color w:val="000000"/>
          <w:sz w:val="22"/>
        </w:rPr>
        <w:t xml:space="preserve">, each registrant will maintain a record of controlled substances dispensed to a patient or research subject that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name and NDC number, strength, dosage form, and quantity of the substance dispensed.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name of the prescriber, unless dispensed by the prescriber.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unique identification of each technician, pharmacist, pharmacist-intern, prescriber, or prescriber’s agent involved in dispensing.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 The serial number or unique identification number of the prescription.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553.2(3)</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r>
        <w:rPr>
          <w:rFonts w:ascii="Times New Roman" w:hAnsi="Times New Roman"/>
          <w:b w:val="false"/>
          <w:i w:val="false"/>
          <w:color w:val="000000"/>
          <w:sz w:val="22"/>
        </w:rPr>
        <w:t xml:space="preserve">Pursuant to Iowa Code section </w:t>
      </w:r>
      <w:hyperlink r:id="rId7">
        <w:r>
          <w:rPr>
            <w:rStyle w:val="Hyperlink"/>
            <w:rFonts w:ascii="Times New Roman" w:hAnsi="Times New Roman"/>
            <w:b w:val="false"/>
            <w:i w:val="false"/>
            <w:color w:val="000000"/>
            <w:sz w:val="22"/>
          </w:rPr>
          <w:t>124.302(5)</w:t>
        </w:r>
      </w:hyperlink>
      <w:r>
        <w:rPr>
          <w:rFonts w:ascii="Times New Roman" w:hAnsi="Times New Roman"/>
          <w:b w:val="false"/>
          <w:i w:val="false"/>
          <w:color w:val="000000"/>
          <w:sz w:val="22"/>
        </w:rPr>
        <w:t xml:space="preserve">, the board may inspect the premises of a registrant, and the inspection may: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Be conducted at any time during the registrant’s normal operating hours without advance notification to the registrant.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Include the review of any record relating to the registered activity.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481—553.3</w:t>
      </w:r>
      <w:r>
        <w:rPr>
          <w:rFonts w:ascii="Times New Roman" w:hAnsi="Times New Roman"/>
          <w:b/>
          <w:i w:val="false"/>
          <w:color w:val="000000"/>
          <w:sz w:val="22"/>
        </w:rPr>
        <w:t xml:space="preserve">(124,124B) </w:t>
      </w:r>
      <w:r>
        <w:rPr>
          <w:rFonts w:ascii="Times New Roman" w:hAnsi="Times New Roman"/>
          <w:b/>
          <w:i w:val="false"/>
          <w:color w:val="000000"/>
          <w:sz w:val="22"/>
        </w:rPr>
        <w:t xml:space="preserve">Security. </w:t>
      </w:r>
      <w:r>
        <w:rPr>
          <w:rFonts w:ascii="Times New Roman" w:hAnsi="Times New Roman"/>
          <w:b w:val="false"/>
          <w:i w:val="false"/>
          <w:color w:val="000000"/>
          <w:sz w:val="22"/>
        </w:rPr>
        <w:t xml:space="preserve">All registrants and permittees will provide effective controls and procedures to guard against theft and diversion of controlled and precursor substances and records. Physical security controls will be commensurate with the schedules and quantities of such substances in the possession of the registrant or permittee in normal business operation and in accordance with </w:t>
      </w:r>
      <w:r>
        <w:rPr>
          <w:rFonts w:ascii="Times New Roman" w:hAnsi="Times New Roman"/>
          <w:b w:val="false"/>
          <w:i w:val="false"/>
          <w:color w:val="000000"/>
          <w:sz w:val="22"/>
        </w:rPr>
        <w:t>21 CFR Part 1301</w:t>
      </w:r>
      <w:r>
        <w:rPr>
          <w:rFonts w:ascii="Times New Roman" w:hAnsi="Times New Roman"/>
          <w:b w:val="false"/>
          <w:i w:val="false"/>
          <w:color w:val="000000"/>
          <w:sz w:val="22"/>
        </w:rPr>
        <w:t xml:space="preserve">. The registrant or permittee maintains ultimate responsibility for the accountability of the controlled and precursor substances and records maintained under the registration or permit.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481—553.4</w:t>
      </w:r>
      <w:r>
        <w:rPr>
          <w:rFonts w:ascii="Times New Roman" w:hAnsi="Times New Roman"/>
          <w:b/>
          <w:i w:val="false"/>
          <w:color w:val="000000"/>
          <w:sz w:val="22"/>
        </w:rPr>
        <w:t xml:space="preserve">(124)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 xml:space="preserve">Each registrant will have policies and procedures that identify, at a minimum: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553.4(1)</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storage to ensure security and proper storage conditions in accordance with product package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553.4(2)</w:t>
      </w:r>
      <w:r>
        <w:rPr>
          <w:rFonts w:ascii="Times New Roman" w:hAnsi="Times New Roman"/>
          <w:b w:val="false"/>
          <w:i w:val="false"/>
          <w:color w:val="000000"/>
          <w:sz w:val="22"/>
        </w:rPr>
        <w:t> </w:t>
      </w:r>
      <w:r>
        <w:rPr>
          <w:rFonts w:ascii="Times New Roman" w:hAnsi="Times New Roman"/>
          <w:b w:val="false"/>
          <w:i w:val="false"/>
          <w:color w:val="000000"/>
          <w:sz w:val="22"/>
        </w:rPr>
        <w:t>Access to controlled substances and records by employees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553.4(3)</w:t>
      </w:r>
      <w:r>
        <w:rPr>
          <w:rFonts w:ascii="Times New Roman" w:hAnsi="Times New Roman"/>
          <w:b w:val="false"/>
          <w:i w:val="false"/>
          <w:color w:val="000000"/>
          <w:sz w:val="22"/>
        </w:rPr>
        <w:t> </w:t>
      </w:r>
      <w:r>
        <w:rPr>
          <w:rFonts w:ascii="Times New Roman" w:hAnsi="Times New Roman"/>
          <w:b w:val="false"/>
          <w:i w:val="false"/>
          <w:color w:val="000000"/>
          <w:sz w:val="22"/>
        </w:rPr>
        <w:t>Proper disposition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553.4(4)</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possible, the separation of duties related to the purchasing, receiving, stocking, dispensing, and reconciling of controlled substance 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reconciliation of controlled substances in Schedule II pursuant to subrule </w:t>
      </w:r>
      <w:hyperlink r:id="rId8">
        <w:r>
          <w:rPr>
            <w:rStyle w:val="Hyperlink"/>
            <w:rFonts w:ascii="Times New Roman" w:hAnsi="Times New Roman"/>
            <w:b w:val="false"/>
            <w:i w:val="false"/>
            <w:color w:val="000000"/>
            <w:sz w:val="22"/>
          </w:rPr>
          <w:t>553.6(3)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accountability measures for controlled substances in Schedules III through V pursuant to subrule </w:t>
      </w:r>
      <w:hyperlink r:id="rId9">
        <w:r>
          <w:rPr>
            <w:rStyle w:val="Hyperlink"/>
            <w:rFonts w:ascii="Times New Roman" w:hAnsi="Times New Roman"/>
            <w:b w:val="false"/>
            <w:i w:val="false"/>
            <w:color w:val="000000"/>
            <w:sz w:val="22"/>
          </w:rPr>
          <w:t>553.6(2)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553.4(7)</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controlled substance accountability program to document the review of controlled substance inventory adjustments, to review patterns of controlled substance loss, and to create an action plan following a report of theft or loss pursuant to subrule </w:t>
      </w:r>
      <w:hyperlink r:id="rId10">
        <w:r>
          <w:rPr>
            <w:rStyle w:val="Hyperlink"/>
            <w:rFonts w:ascii="Times New Roman" w:hAnsi="Times New Roman"/>
            <w:b w:val="false"/>
            <w:i w:val="false"/>
            <w:color w:val="000000"/>
            <w:sz w:val="22"/>
          </w:rPr>
          <w:t>553.7(3)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481—553.5</w:t>
      </w:r>
      <w:r>
        <w:rPr>
          <w:rFonts w:ascii="Times New Roman" w:hAnsi="Times New Roman"/>
          <w:b/>
          <w:i w:val="false"/>
          <w:color w:val="000000"/>
          <w:sz w:val="22"/>
        </w:rPr>
        <w:t xml:space="preserve">(124) </w:t>
      </w:r>
      <w:r>
        <w:rPr>
          <w:rFonts w:ascii="Times New Roman" w:hAnsi="Times New Roman"/>
          <w:b/>
          <w:i w:val="false"/>
          <w:color w:val="000000"/>
          <w:sz w:val="22"/>
        </w:rPr>
        <w:t xml:space="preserve">Physical count and record of inventory. </w:t>
      </w:r>
      <w:r>
        <w:rPr>
          <w:rFonts w:ascii="Times New Roman" w:hAnsi="Times New Roman"/>
          <w:b w:val="false"/>
          <w:i w:val="false"/>
          <w:color w:val="000000"/>
          <w:sz w:val="22"/>
        </w:rPr>
        <w:t xml:space="preserve">In addition to the inventory requirements found in </w:t>
      </w:r>
      <w:r>
        <w:rPr>
          <w:rFonts w:ascii="Times New Roman" w:hAnsi="Times New Roman"/>
          <w:b w:val="false"/>
          <w:i w:val="false"/>
          <w:color w:val="000000"/>
          <w:sz w:val="22"/>
        </w:rPr>
        <w:t>21 CFR §1301.52</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§1304.11</w:t>
      </w:r>
      <w:r>
        <w:rPr>
          <w:rFonts w:ascii="Times New Roman" w:hAnsi="Times New Roman"/>
          <w:b w:val="false"/>
          <w:i w:val="false"/>
          <w:color w:val="000000"/>
          <w:sz w:val="22"/>
        </w:rPr>
        <w:t xml:space="preserve">, each registrant will document a physical count of all on-hand stocks of controlled substances in accordance with </w:t>
      </w:r>
      <w:r>
        <w:rPr>
          <w:rFonts w:ascii="Times New Roman" w:hAnsi="Times New Roman"/>
          <w:b w:val="false"/>
          <w:i w:val="false"/>
          <w:color w:val="000000"/>
          <w:sz w:val="22"/>
        </w:rPr>
        <w:t>21 CFR §1304.11</w:t>
      </w:r>
      <w:r>
        <w:rPr>
          <w:rFonts w:ascii="Times New Roman" w:hAnsi="Times New Roman"/>
          <w:b w:val="false"/>
          <w:i w:val="false"/>
          <w:color w:val="000000"/>
          <w:sz w:val="22"/>
        </w:rPr>
        <w:t xml:space="preserve">, except as provided 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553.5(1)</w:t>
      </w:r>
      <w:r>
        <w:rPr>
          <w:rFonts w:ascii="Times New Roman" w:hAnsi="Times New Roman"/>
          <w:b w:val="false"/>
          <w:i w:val="false"/>
          <w:color w:val="000000"/>
          <w:sz w:val="22"/>
        </w:rPr>
        <w:t> </w:t>
      </w:r>
      <w:r>
        <w:rPr>
          <w:rFonts w:ascii="Times New Roman" w:hAnsi="Times New Roman"/>
          <w:b w:val="false"/>
          <w:i/>
          <w:color w:val="000000"/>
          <w:sz w:val="22"/>
        </w:rPr>
        <w:t xml:space="preserve">Exact quantities. </w:t>
      </w:r>
      <w:r>
        <w:rPr>
          <w:rFonts w:ascii="Times New Roman" w:hAnsi="Times New Roman"/>
          <w:b w:val="false"/>
          <w:i w:val="false"/>
          <w:color w:val="000000"/>
          <w:sz w:val="22"/>
        </w:rPr>
        <w:t xml:space="preserve">Each inventory will include the exact count or measure of all controlled substances and may not be an estimated count or measure, except for liquid products packaged in nonincremented containers, which may be estimated to the nearest one-fourth container.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553.5(2)</w:t>
      </w:r>
      <w:r>
        <w:rPr>
          <w:rFonts w:ascii="Times New Roman" w:hAnsi="Times New Roman"/>
          <w:b w:val="false"/>
          <w:i w:val="false"/>
          <w:color w:val="000000"/>
          <w:sz w:val="22"/>
        </w:rPr>
        <w:t> </w:t>
      </w:r>
      <w:r>
        <w:rPr>
          <w:rFonts w:ascii="Times New Roman" w:hAnsi="Times New Roman"/>
          <w:b w:val="false"/>
          <w:i/>
          <w:color w:val="000000"/>
          <w:sz w:val="22"/>
        </w:rPr>
        <w:t xml:space="preserve">Annual inventory. </w:t>
      </w:r>
      <w:r>
        <w:rPr>
          <w:rFonts w:ascii="Times New Roman" w:hAnsi="Times New Roman"/>
          <w:b w:val="false"/>
          <w:i w:val="false"/>
          <w:color w:val="000000"/>
          <w:sz w:val="22"/>
        </w:rPr>
        <w:t xml:space="preserve">After the initial inventory is taken, a registrant will take a new inventory of all stocks of controlled substances on hand at least annually. The inventory may be taken on any date that is within one year and one week after the date of the previous annual 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553.5(3)</w:t>
      </w:r>
      <w:r>
        <w:rPr>
          <w:rFonts w:ascii="Times New Roman" w:hAnsi="Times New Roman"/>
          <w:b w:val="false"/>
          <w:i w:val="false"/>
          <w:color w:val="000000"/>
          <w:sz w:val="22"/>
        </w:rPr>
        <w:t> </w:t>
      </w:r>
      <w:r>
        <w:rPr>
          <w:rFonts w:ascii="Times New Roman" w:hAnsi="Times New Roman"/>
          <w:b w:val="false"/>
          <w:i/>
          <w:color w:val="000000"/>
          <w:sz w:val="22"/>
        </w:rPr>
        <w:t xml:space="preserve">Change of registered location. </w:t>
      </w:r>
      <w:r>
        <w:rPr>
          <w:rFonts w:ascii="Times New Roman" w:hAnsi="Times New Roman"/>
          <w:b w:val="false"/>
          <w:i w:val="false"/>
          <w:color w:val="000000"/>
          <w:sz w:val="22"/>
        </w:rPr>
        <w:t xml:space="preserve">An inventory will be taken following the close of business on the last day at the location being vacated that will serve as the ending inventory of the location being vacated as well as the beginning inventory at the new location.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481—553.6</w:t>
      </w:r>
      <w:r>
        <w:rPr>
          <w:rFonts w:ascii="Times New Roman" w:hAnsi="Times New Roman"/>
          <w:b/>
          <w:i w:val="false"/>
          <w:color w:val="000000"/>
          <w:sz w:val="22"/>
        </w:rPr>
        <w:t xml:space="preserve">(124) </w:t>
      </w:r>
      <w:r>
        <w:rPr>
          <w:rFonts w:ascii="Times New Roman" w:hAnsi="Times New Roman"/>
          <w:b/>
          <w:i w:val="false"/>
          <w:color w:val="000000"/>
          <w:sz w:val="22"/>
        </w:rPr>
        <w:t xml:space="preserve">Controlled substance accountability. </w:t>
      </w:r>
      <w:r>
        <w:rPr>
          <w:rFonts w:ascii="Times New Roman" w:hAnsi="Times New Roman"/>
          <w:b w:val="false"/>
          <w:i w:val="false"/>
          <w:color w:val="000000"/>
          <w:sz w:val="22"/>
        </w:rPr>
        <w:t>Registrants located in Iowa will ensure accountability of all controlled substances under their control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553.6(1)</w:t>
      </w:r>
      <w:r>
        <w:rPr>
          <w:rFonts w:ascii="Times New Roman" w:hAnsi="Times New Roman"/>
          <w:b w:val="false"/>
          <w:i w:val="false"/>
          <w:color w:val="000000"/>
          <w:sz w:val="22"/>
        </w:rPr>
        <w:t> </w:t>
      </w:r>
      <w:r>
        <w:rPr>
          <w:rFonts w:ascii="Times New Roman" w:hAnsi="Times New Roman"/>
          <w:b w:val="false"/>
          <w:i/>
          <w:color w:val="000000"/>
          <w:sz w:val="22"/>
        </w:rPr>
        <w:t xml:space="preserve">Perpetual inventory. </w:t>
      </w:r>
      <w:r>
        <w:rPr>
          <w:rFonts w:ascii="Times New Roman" w:hAnsi="Times New Roman"/>
          <w:b w:val="false"/>
          <w:i w:val="false"/>
          <w:color w:val="000000"/>
          <w:sz w:val="22"/>
        </w:rPr>
        <w:t xml:space="preserve">Each registrant will maintain a perpetual inventory that accurately reflects the on-hand inventory of all Schedule II substances at all times. A perpetual inventory may be maintained to accurately reflect the on-hand inventory of all Schedules III through V substances in addition to or in lieu of the measures identified in subrule </w:t>
      </w:r>
      <w:hyperlink r:id="rId11">
        <w:r>
          <w:rPr>
            <w:rStyle w:val="Hyperlink"/>
            <w:rFonts w:ascii="Times New Roman" w:hAnsi="Times New Roman"/>
            <w:b w:val="false"/>
            <w:i w:val="false"/>
            <w:color w:val="000000"/>
            <w:sz w:val="22"/>
          </w:rPr>
          <w:t>553.6(2)</w:t>
        </w:r>
      </w:hyperlink>
      <w:r>
        <w:rPr>
          <w:rFonts w:ascii="Times New Roman" w:hAnsi="Times New Roman"/>
          <w:b w:val="false"/>
          <w:i w:val="false"/>
          <w:color w:val="000000"/>
          <w:sz w:val="22"/>
        </w:rPr>
        <w:t xml:space="preserve">. The perpetual inventory record will include the following elements, including by supplement or reference, at a minimum, for each substance: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 name and NDC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receipt and disbursement.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Incident reports pursuant to subrule </w:t>
      </w:r>
      <w:hyperlink r:id="rId12">
        <w:r>
          <w:rPr>
            <w:rStyle w:val="Hyperlink"/>
            <w:rFonts w:ascii="Times New Roman" w:hAnsi="Times New Roman"/>
            <w:b w:val="false"/>
            <w:i w:val="false"/>
            <w:color w:val="000000"/>
            <w:sz w:val="22"/>
          </w:rPr>
          <w:t>553.6(5)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Reconciliation reports pursuant to subrule </w:t>
      </w:r>
      <w:hyperlink r:id="rId13">
        <w:r>
          <w:rPr>
            <w:rStyle w:val="Hyperlink"/>
            <w:rFonts w:ascii="Times New Roman" w:hAnsi="Times New Roman"/>
            <w:b w:val="false"/>
            <w:i w:val="false"/>
            <w:color w:val="000000"/>
            <w:sz w:val="22"/>
          </w:rPr>
          <w:t>553.6(3)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553.6(2)</w:t>
      </w:r>
      <w:r>
        <w:rPr>
          <w:rFonts w:ascii="Times New Roman" w:hAnsi="Times New Roman"/>
          <w:b w:val="false"/>
          <w:i w:val="false"/>
          <w:color w:val="000000"/>
          <w:sz w:val="22"/>
        </w:rPr>
        <w:t> </w:t>
      </w:r>
      <w:r>
        <w:rPr>
          <w:rFonts w:ascii="Times New Roman" w:hAnsi="Times New Roman"/>
          <w:b w:val="false"/>
          <w:i/>
          <w:color w:val="000000"/>
          <w:sz w:val="22"/>
        </w:rPr>
        <w:t xml:space="preserve">Accountability measures to ensure accountability of Schedule III through V substances. </w:t>
      </w:r>
      <w:r>
        <w:rPr>
          <w:rFonts w:ascii="Times New Roman" w:hAnsi="Times New Roman"/>
          <w:b w:val="false"/>
          <w:i w:val="false"/>
          <w:color w:val="000000"/>
          <w:sz w:val="22"/>
        </w:rPr>
        <w:t xml:space="preserve">In lieu of or in addition to a perpetual inventory pursuant to subrule </w:t>
      </w:r>
      <w:hyperlink r:id="rId14">
        <w:r>
          <w:rPr>
            <w:rStyle w:val="Hyperlink"/>
            <w:rFonts w:ascii="Times New Roman" w:hAnsi="Times New Roman"/>
            <w:b w:val="false"/>
            <w:i w:val="false"/>
            <w:color w:val="000000"/>
            <w:sz w:val="22"/>
          </w:rPr>
          <w:t>553.6(1)</w:t>
        </w:r>
      </w:hyperlink>
      <w:r>
        <w:rPr>
          <w:rFonts w:ascii="Times New Roman" w:hAnsi="Times New Roman"/>
          <w:b w:val="false"/>
          <w:i w:val="false"/>
          <w:color w:val="000000"/>
          <w:sz w:val="22"/>
        </w:rPr>
        <w:t xml:space="preserve">, registrants will utilize one or more of the measures herein to ensure accountability of all Schedules III through V substances under their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Documented audit and reconciliation of all substances every six months pursuant to paragraph </w:t>
      </w:r>
      <w:hyperlink r:id="rId15">
        <w:r>
          <w:rPr>
            <w:rStyle w:val="Hyperlink"/>
            <w:rFonts w:ascii="Times New Roman" w:hAnsi="Times New Roman"/>
            <w:b w:val="false"/>
            <w:i w:val="false"/>
            <w:color w:val="000000"/>
            <w:sz w:val="22"/>
          </w:rPr>
          <w:t>553.6(3)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documented cycle counts, so long as all substances are counted every 90 days and reconciled pursuant to paragraph </w:t>
      </w:r>
      <w:hyperlink r:id="rId16">
        <w:r>
          <w:rPr>
            <w:rStyle w:val="Hyperlink"/>
            <w:rFonts w:ascii="Times New Roman" w:hAnsi="Times New Roman"/>
            <w:b w:val="false"/>
            <w:i w:val="false"/>
            <w:color w:val="000000"/>
            <w:sz w:val="22"/>
          </w:rPr>
          <w:t>553.6(3)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measures preapproved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553.6(3)</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Perpetual inventory. </w:t>
      </w:r>
      <w:r>
        <w:rPr>
          <w:rFonts w:ascii="Times New Roman" w:hAnsi="Times New Roman"/>
          <w:b w:val="false"/>
          <w:i w:val="false"/>
          <w:color w:val="000000"/>
          <w:sz w:val="22"/>
        </w:rPr>
        <w:t>Individuals responsible for a disbursement will verify that the physical inventory matches the perpetual inventory following each transaction. At least annually, the registrant will verify that the physical inventory matches the perpetual inventory for any substance that was not disbursed in the year. Reconciliation will be documented in the perpetual inventory record to include, at a minimum, the date, the initials or unique identification of the individual, and any discrepancies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Schedules III through V reconciliation. </w:t>
      </w:r>
      <w:r>
        <w:rPr>
          <w:rFonts w:ascii="Times New Roman" w:hAnsi="Times New Roman"/>
          <w:b w:val="false"/>
          <w:i w:val="false"/>
          <w:color w:val="000000"/>
          <w:sz w:val="22"/>
        </w:rPr>
        <w:t xml:space="preserve">In accordance with paragraph </w:t>
      </w:r>
      <w:hyperlink r:id="rId17">
        <w:r>
          <w:rPr>
            <w:rStyle w:val="Hyperlink"/>
            <w:rFonts w:ascii="Times New Roman" w:hAnsi="Times New Roman"/>
            <w:b w:val="false"/>
            <w:i w:val="false"/>
            <w:color w:val="000000"/>
            <w:sz w:val="22"/>
          </w:rPr>
          <w:t>553.6(2)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registrant will verify that the physical inventory matches the expected inventory and will document the reconciliation to include the date, the initials or unique identification of the individual, and any discrepancies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553.6(4)</w:t>
      </w:r>
      <w:r>
        <w:rPr>
          <w:rFonts w:ascii="Times New Roman" w:hAnsi="Times New Roman"/>
          <w:b w:val="false"/>
          <w:i w:val="false"/>
          <w:color w:val="000000"/>
          <w:sz w:val="22"/>
        </w:rPr>
        <w:t> </w:t>
      </w:r>
      <w:r>
        <w:rPr>
          <w:rFonts w:ascii="Times New Roman" w:hAnsi="Times New Roman"/>
          <w:b w:val="false"/>
          <w:i/>
          <w:color w:val="000000"/>
          <w:sz w:val="22"/>
        </w:rPr>
        <w:t xml:space="preserve">Discrepancies. </w:t>
      </w:r>
      <w:r>
        <w:rPr>
          <w:rFonts w:ascii="Times New Roman" w:hAnsi="Times New Roman"/>
          <w:b w:val="false"/>
          <w:i w:val="false"/>
          <w:color w:val="000000"/>
          <w:sz w:val="22"/>
        </w:rPr>
        <w:t xml:space="preserve">Any discrepancy discovered will be investigated and reported to the registrant or responsible individual immediately but no later than one business day following the discovery. The registrant will determine the need for further investigation, and significant losses will be reported to the board pursuant to rule </w:t>
      </w:r>
      <w:hyperlink r:id="rId18">
        <w:r>
          <w:rPr>
            <w:rStyle w:val="Hyperlink"/>
            <w:rFonts w:ascii="Times New Roman" w:hAnsi="Times New Roman"/>
            <w:b w:val="false"/>
            <w:i w:val="false"/>
            <w:color w:val="000000"/>
            <w:sz w:val="22"/>
          </w:rPr>
          <w:t>481—553.7</w:t>
        </w:r>
      </w:hyperlink>
      <w:r>
        <w:rPr>
          <w:rFonts w:ascii="Times New Roman" w:hAnsi="Times New Roman"/>
          <w:b w:val="false"/>
          <w:i w:val="false"/>
          <w:color w:val="000000"/>
          <w:sz w:val="22"/>
        </w:rPr>
        <w:t xml:space="preserve">(124) and to the DEA pursuant to </w:t>
      </w:r>
      <w:r>
        <w:rPr>
          <w:rFonts w:ascii="Times New Roman" w:hAnsi="Times New Roman"/>
          <w:b w:val="false"/>
          <w:i w:val="false"/>
          <w:color w:val="000000"/>
          <w:sz w:val="22"/>
        </w:rPr>
        <w:t>21 CFR Part 1301</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553.6(5)</w:t>
      </w:r>
      <w:r>
        <w:rPr>
          <w:rFonts w:ascii="Times New Roman" w:hAnsi="Times New Roman"/>
          <w:b w:val="false"/>
          <w:i w:val="false"/>
          <w:color w:val="000000"/>
          <w:sz w:val="22"/>
        </w:rPr>
        <w:t> </w:t>
      </w:r>
      <w:r>
        <w:rPr>
          <w:rFonts w:ascii="Times New Roman" w:hAnsi="Times New Roman"/>
          <w:b w:val="false"/>
          <w:i/>
          <w:color w:val="000000"/>
          <w:sz w:val="22"/>
        </w:rPr>
        <w:t xml:space="preserve">Incident reports. </w:t>
      </w:r>
      <w:r>
        <w:rPr>
          <w:rFonts w:ascii="Times New Roman" w:hAnsi="Times New Roman"/>
          <w:b w:val="false"/>
          <w:i w:val="false"/>
          <w:color w:val="000000"/>
          <w:sz w:val="22"/>
        </w:rPr>
        <w:t xml:space="preserve">In any instance where a controlled substance inventory record is changed, the individual making the change will complete an incident report to document the change. An electronic record system that documents and maintains the required elements is deemed compliant with this subrule. The report will include, at a minimum: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 information that was changed, including the information before and after the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the individual making the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the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explanation for the change.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481—553.7</w:t>
      </w:r>
      <w:r>
        <w:rPr>
          <w:rFonts w:ascii="Times New Roman" w:hAnsi="Times New Roman"/>
          <w:b/>
          <w:i w:val="false"/>
          <w:color w:val="000000"/>
          <w:sz w:val="22"/>
        </w:rPr>
        <w:t xml:space="preserve">(124) </w:t>
      </w:r>
      <w:r>
        <w:rPr>
          <w:rFonts w:ascii="Times New Roman" w:hAnsi="Times New Roman"/>
          <w:b/>
          <w:i w:val="false"/>
          <w:color w:val="000000"/>
          <w:sz w:val="22"/>
        </w:rPr>
        <w:t xml:space="preserve">Report of theft or significant loss—controlled substances. </w:t>
      </w:r>
      <w:r>
        <w:rPr>
          <w:rFonts w:ascii="Times New Roman" w:hAnsi="Times New Roman"/>
          <w:b w:val="false"/>
          <w:i w:val="false"/>
          <w:color w:val="000000"/>
          <w:sz w:val="22"/>
        </w:rPr>
        <w:t xml:space="preserve">In addition to the notification requirements found in </w:t>
      </w:r>
      <w:r>
        <w:rPr>
          <w:rFonts w:ascii="Times New Roman" w:hAnsi="Times New Roman"/>
          <w:b w:val="false"/>
          <w:i w:val="false"/>
          <w:color w:val="000000"/>
          <w:sz w:val="22"/>
        </w:rPr>
        <w:t>21 CFR §1301.74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§1301.76</w:t>
      </w:r>
      <w:r>
        <w:rPr>
          <w:rFonts w:ascii="Times New Roman" w:hAnsi="Times New Roman"/>
          <w:b w:val="false"/>
          <w:i w:val="false"/>
          <w:color w:val="000000"/>
          <w:sz w:val="22"/>
        </w:rPr>
        <w:t xml:space="preserve">, registrants will submit notice and reports of theft or significant loss as determined by the factors provided in </w:t>
      </w:r>
      <w:r>
        <w:rPr>
          <w:rFonts w:ascii="Times New Roman" w:hAnsi="Times New Roman"/>
          <w:b w:val="false"/>
          <w:i w:val="false"/>
          <w:color w:val="000000"/>
          <w:sz w:val="22"/>
        </w:rPr>
        <w:t>21 CFR §1301.76(b)</w:t>
      </w:r>
      <w:r>
        <w:rPr>
          <w:rFonts w:ascii="Times New Roman" w:hAnsi="Times New Roman"/>
          <w:b w:val="false"/>
          <w:i w:val="false"/>
          <w:color w:val="000000"/>
          <w:sz w:val="22"/>
        </w:rPr>
        <w:t xml:space="preserve"> amended June 22, 2023, of controlled substances as provided 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553.7(1)</w:t>
      </w:r>
      <w:r>
        <w:rPr>
          <w:rFonts w:ascii="Times New Roman" w:hAnsi="Times New Roman"/>
          <w:b w:val="false"/>
          <w:i w:val="false"/>
          <w:color w:val="000000"/>
          <w:sz w:val="22"/>
        </w:rPr>
        <w:t> </w:t>
      </w:r>
      <w:r>
        <w:rPr>
          <w:rFonts w:ascii="Times New Roman" w:hAnsi="Times New Roman"/>
          <w:b w:val="false"/>
          <w:i/>
          <w:color w:val="000000"/>
          <w:sz w:val="22"/>
        </w:rPr>
        <w:t xml:space="preserve">Immediate notice to board. </w:t>
      </w:r>
      <w:r>
        <w:rPr>
          <w:rFonts w:ascii="Times New Roman" w:hAnsi="Times New Roman"/>
          <w:b w:val="false"/>
          <w:i w:val="false"/>
          <w:color w:val="000000"/>
          <w:sz w:val="22"/>
        </w:rPr>
        <w:t>Upon determination of theft or significant loss, a registrant will provide immediate notice to the board. The notice will include the identification of the licensee or registrant who is responsible, or believed to be responsible, for the theft or significant loss,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553.7(2)</w:t>
      </w:r>
      <w:r>
        <w:rPr>
          <w:rFonts w:ascii="Times New Roman" w:hAnsi="Times New Roman"/>
          <w:b w:val="false"/>
          <w:i w:val="false"/>
          <w:color w:val="000000"/>
          <w:sz w:val="22"/>
        </w:rPr>
        <w:t> </w:t>
      </w:r>
      <w:r>
        <w:rPr>
          <w:rFonts w:ascii="Times New Roman" w:hAnsi="Times New Roman"/>
          <w:b w:val="false"/>
          <w:i/>
          <w:color w:val="000000"/>
          <w:sz w:val="22"/>
        </w:rPr>
        <w:t xml:space="preserve">DEA Form 106 Report of theft or loss. </w:t>
      </w:r>
      <w:r>
        <w:rPr>
          <w:rFonts w:ascii="Times New Roman" w:hAnsi="Times New Roman"/>
          <w:b w:val="false"/>
          <w:i w:val="false"/>
          <w:color w:val="000000"/>
          <w:sz w:val="22"/>
        </w:rPr>
        <w:t xml:space="preserve">A copy of the DEA Form 106 or alternate required form will be submitted to the board via facsimile, email attachment, or personal or commercial delivery within 45 calendar days of the determination of the theft or significant loss. A copy of the report will be maintained in the registrant’s files in accordance with subrule </w:t>
      </w:r>
      <w:hyperlink r:id="rId19">
        <w:r>
          <w:rPr>
            <w:rStyle w:val="Hyperlink"/>
            <w:rFonts w:ascii="Times New Roman" w:hAnsi="Times New Roman"/>
            <w:b w:val="false"/>
            <w:i w:val="false"/>
            <w:color w:val="000000"/>
            <w:sz w:val="22"/>
          </w:rPr>
          <w:t>553.2(2)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553.7(3)</w:t>
      </w:r>
      <w:r>
        <w:rPr>
          <w:rFonts w:ascii="Times New Roman" w:hAnsi="Times New Roman"/>
          <w:b w:val="false"/>
          <w:i w:val="false"/>
          <w:color w:val="000000"/>
          <w:sz w:val="22"/>
        </w:rPr>
        <w:t> </w:t>
      </w:r>
      <w:r>
        <w:rPr>
          <w:rFonts w:ascii="Times New Roman" w:hAnsi="Times New Roman"/>
          <w:b w:val="false"/>
          <w:i/>
          <w:color w:val="000000"/>
          <w:sz w:val="22"/>
        </w:rPr>
        <w:t xml:space="preserve">Action plan following loss. </w:t>
      </w:r>
      <w:r>
        <w:rPr>
          <w:rFonts w:ascii="Times New Roman" w:hAnsi="Times New Roman"/>
          <w:b w:val="false"/>
          <w:i w:val="false"/>
          <w:color w:val="000000"/>
          <w:sz w:val="22"/>
        </w:rPr>
        <w:t xml:space="preserve">Within seven days following the report of theft or significant loss, a registrant will develop and initiate implementation of an action plan to address the conditions that contributed to the theft or significant loss. The action plan will include any directives provided by a board compliance officer, including but not limited to inventory counts, audits, and perpetual inventory counts.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481—553.8</w:t>
      </w:r>
      <w:r>
        <w:rPr>
          <w:rFonts w:ascii="Times New Roman" w:hAnsi="Times New Roman"/>
          <w:b/>
          <w:i w:val="false"/>
          <w:color w:val="000000"/>
          <w:sz w:val="22"/>
        </w:rPr>
        <w:t xml:space="preserve">(124,124B) </w:t>
      </w:r>
      <w:r>
        <w:rPr>
          <w:rFonts w:ascii="Times New Roman" w:hAnsi="Times New Roman"/>
          <w:b/>
          <w:i w:val="false"/>
          <w:color w:val="000000"/>
          <w:sz w:val="22"/>
        </w:rPr>
        <w:t xml:space="preserve">Disposal of registrant stock.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553.8(1)</w:t>
      </w:r>
      <w:r>
        <w:rPr>
          <w:rFonts w:ascii="Times New Roman" w:hAnsi="Times New Roman"/>
          <w:b w:val="false"/>
          <w:i w:val="false"/>
          <w:color w:val="000000"/>
          <w:sz w:val="22"/>
        </w:rPr>
        <w:t> </w:t>
      </w:r>
      <w:r>
        <w:rPr>
          <w:rFonts w:ascii="Times New Roman" w:hAnsi="Times New Roman"/>
          <w:b w:val="false"/>
          <w:i/>
          <w:color w:val="000000"/>
          <w:sz w:val="22"/>
        </w:rPr>
        <w:t xml:space="preserve">Destruction. </w:t>
      </w:r>
      <w:r>
        <w:rPr>
          <w:rFonts w:ascii="Times New Roman" w:hAnsi="Times New Roman"/>
          <w:b w:val="false"/>
          <w:i w:val="false"/>
          <w:color w:val="000000"/>
          <w:sz w:val="22"/>
        </w:rPr>
        <w:t xml:space="preserve">Registrants will maintain documentation of disposal of controlled substances pursuant to </w:t>
      </w:r>
      <w:r>
        <w:rPr>
          <w:rFonts w:ascii="Times New Roman" w:hAnsi="Times New Roman"/>
          <w:b w:val="false"/>
          <w:i w:val="false"/>
          <w:color w:val="000000"/>
          <w:sz w:val="22"/>
        </w:rPr>
        <w:t>21 CFR §1317.05</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§1317.95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553.8(2)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waste. </w:t>
      </w:r>
      <w:r>
        <w:rPr>
          <w:rFonts w:ascii="Times New Roman" w:hAnsi="Times New Roman"/>
          <w:b w:val="false"/>
          <w:i w:val="false"/>
          <w:color w:val="000000"/>
          <w:sz w:val="22"/>
        </w:rPr>
        <w:t xml:space="preserve">Registrants will document disposal of controlled substance administration waste pursuant to </w:t>
      </w:r>
      <w:r>
        <w:rPr>
          <w:rFonts w:ascii="Times New Roman" w:hAnsi="Times New Roman"/>
          <w:b w:val="false"/>
          <w:i w:val="false"/>
          <w:color w:val="000000"/>
          <w:sz w:val="22"/>
        </w:rPr>
        <w:t>21 CFR §1304.22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481—553.9</w:t>
      </w:r>
      <w:r>
        <w:rPr>
          <w:rFonts w:ascii="Times New Roman" w:hAnsi="Times New Roman"/>
          <w:b/>
          <w:i w:val="false"/>
          <w:color w:val="000000"/>
          <w:sz w:val="22"/>
        </w:rPr>
        <w:t xml:space="preserve">(124) </w:t>
      </w:r>
      <w:r>
        <w:rPr>
          <w:rFonts w:ascii="Times New Roman" w:hAnsi="Times New Roman"/>
          <w:b/>
          <w:i w:val="false"/>
          <w:color w:val="000000"/>
          <w:sz w:val="22"/>
        </w:rPr>
        <w:t xml:space="preserve">Prescription requirements—valid prescriber-patient relationship. </w:t>
      </w:r>
      <w:r>
        <w:rPr>
          <w:rFonts w:ascii="Times New Roman" w:hAnsi="Times New Roman"/>
          <w:b w:val="false"/>
          <w:i w:val="false"/>
          <w:color w:val="000000"/>
          <w:sz w:val="22"/>
        </w:rPr>
        <w:t xml:space="preserve">In addition to the elements identified in Iowa Code sections </w:t>
      </w:r>
      <w:hyperlink r:id="rId20">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Parts 1306</w:t>
      </w:r>
      <w:r>
        <w:rPr>
          <w:rFonts w:ascii="Times New Roman" w:hAnsi="Times New Roman"/>
          <w:b w:val="false"/>
          <w:i w:val="false"/>
          <w:color w:val="000000"/>
          <w:sz w:val="22"/>
        </w:rPr>
        <w:t xml:space="preserve"> and </w:t>
      </w:r>
      <w:r>
        <w:rPr>
          <w:rFonts w:ascii="Times New Roman" w:hAnsi="Times New Roman"/>
          <w:b w:val="false"/>
          <w:i w:val="false"/>
          <w:color w:val="000000"/>
          <w:sz w:val="22"/>
        </w:rPr>
        <w:t>1311</w:t>
      </w:r>
      <w:r>
        <w:rPr>
          <w:rFonts w:ascii="Times New Roman" w:hAnsi="Times New Roman"/>
          <w:b w:val="false"/>
          <w:i w:val="false"/>
          <w:color w:val="000000"/>
          <w:sz w:val="22"/>
        </w:rPr>
        <w:t>, a prescription is based upon a valid prescriber-patient relationship. Once the prescriber-patient relationship is broken and the prescriber is no longer available to treat the patient or oversee the patient’s use of the controlled substance, a prescription loses its validity. Upon becoming aware of the situation, the pharmacist will cancel the prescription and any remaining refills but may exercise prudent judgment in individual circumstances to ensure sufficient patient access to continued treatment until the patient can reasonably obtain the service of another prescriber.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481—553.10</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 prescription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553.10(1)</w:t>
      </w:r>
      <w:r>
        <w:rPr>
          <w:rFonts w:ascii="Times New Roman" w:hAnsi="Times New Roman"/>
          <w:b w:val="false"/>
          <w:i w:val="false"/>
          <w:color w:val="000000"/>
          <w:sz w:val="22"/>
        </w:rPr>
        <w:t> </w:t>
      </w:r>
      <w:r>
        <w:rPr>
          <w:rFonts w:ascii="Times New Roman" w:hAnsi="Times New Roman"/>
          <w:b w:val="false"/>
          <w:i/>
          <w:color w:val="000000"/>
          <w:sz w:val="22"/>
        </w:rPr>
        <w:t xml:space="preserve">Changes prohibited. </w:t>
      </w:r>
      <w:r>
        <w:rPr>
          <w:rFonts w:ascii="Times New Roman" w:hAnsi="Times New Roman"/>
          <w:b w:val="false"/>
          <w:i w:val="false"/>
          <w:color w:val="000000"/>
          <w:sz w:val="22"/>
        </w:rPr>
        <w:t>The following elements may not be added or changed on a Schedule II controlled substance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patient’s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substance prescribed, except for generic substitution.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prescriber’s name or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553.10(2)</w:t>
      </w:r>
      <w:r>
        <w:rPr>
          <w:rFonts w:ascii="Times New Roman" w:hAnsi="Times New Roman"/>
          <w:b w:val="false"/>
          <w:i w:val="false"/>
          <w:color w:val="000000"/>
          <w:sz w:val="22"/>
        </w:rPr>
        <w:t> </w:t>
      </w:r>
      <w:r>
        <w:rPr>
          <w:rFonts w:ascii="Times New Roman" w:hAnsi="Times New Roman"/>
          <w:b w:val="false"/>
          <w:i/>
          <w:color w:val="000000"/>
          <w:sz w:val="22"/>
        </w:rPr>
        <w:t xml:space="preserve">Changes authorized. </w:t>
      </w:r>
      <w:r>
        <w:rPr>
          <w:rFonts w:ascii="Times New Roman" w:hAnsi="Times New Roman"/>
          <w:b w:val="false"/>
          <w:i w:val="false"/>
          <w:color w:val="000000"/>
          <w:sz w:val="22"/>
        </w:rPr>
        <w:t xml:space="preserve">Except as prohibited in subrule </w:t>
      </w:r>
      <w:hyperlink r:id="rId22">
        <w:r>
          <w:rPr>
            <w:rStyle w:val="Hyperlink"/>
            <w:rFonts w:ascii="Times New Roman" w:hAnsi="Times New Roman"/>
            <w:b w:val="false"/>
            <w:i w:val="false"/>
            <w:color w:val="000000"/>
            <w:sz w:val="22"/>
          </w:rPr>
          <w:t>553.10(1)</w:t>
        </w:r>
      </w:hyperlink>
      <w:r>
        <w:rPr>
          <w:rFonts w:ascii="Times New Roman" w:hAnsi="Times New Roman"/>
          <w:b w:val="false"/>
          <w:i w:val="false"/>
          <w:color w:val="000000"/>
          <w:sz w:val="22"/>
        </w:rPr>
        <w:t xml:space="preserve">, elements on a Schedule II controlled substance prescription may be added or amended upon consultation with the prescriber.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481—553.11</w:t>
      </w:r>
      <w:r>
        <w:rPr>
          <w:rFonts w:ascii="Times New Roman" w:hAnsi="Times New Roman"/>
          <w:b/>
          <w:i w:val="false"/>
          <w:color w:val="000000"/>
          <w:sz w:val="22"/>
        </w:rPr>
        <w:t xml:space="preserve">(124) </w:t>
      </w:r>
      <w:r>
        <w:rPr>
          <w:rFonts w:ascii="Times New Roman" w:hAnsi="Times New Roman"/>
          <w:b/>
          <w:i w:val="false"/>
          <w:color w:val="000000"/>
          <w:sz w:val="22"/>
        </w:rPr>
        <w:t xml:space="preserve">Dispensing scheduled listed chemical products without a prescription. </w:t>
      </w:r>
      <w:r>
        <w:rPr>
          <w:rFonts w:ascii="Times New Roman" w:hAnsi="Times New Roman"/>
          <w:b w:val="false"/>
          <w:i w:val="false"/>
          <w:color w:val="000000"/>
          <w:sz w:val="22"/>
        </w:rPr>
        <w:t xml:space="preserve">Pursuant to 21 U.S.C. §830 as amended on October 17, 2000, </w:t>
      </w:r>
      <w:r>
        <w:rPr>
          <w:rFonts w:ascii="Times New Roman" w:hAnsi="Times New Roman"/>
          <w:b w:val="false"/>
          <w:i w:val="false"/>
          <w:color w:val="000000"/>
          <w:sz w:val="22"/>
        </w:rPr>
        <w:t>21 CFR Part 1314</w:t>
      </w:r>
      <w:r>
        <w:rPr>
          <w:rFonts w:ascii="Times New Roman" w:hAnsi="Times New Roman"/>
          <w:b w:val="false"/>
          <w:i w:val="false"/>
          <w:color w:val="000000"/>
          <w:sz w:val="22"/>
        </w:rPr>
        <w:t xml:space="preserve">, and Iowa Code section </w:t>
      </w:r>
      <w:hyperlink r:id="rId23">
        <w:r>
          <w:rPr>
            <w:rStyle w:val="Hyperlink"/>
            <w:rFonts w:ascii="Times New Roman" w:hAnsi="Times New Roman"/>
            <w:b w:val="false"/>
            <w:i w:val="false"/>
            <w:color w:val="000000"/>
            <w:sz w:val="22"/>
          </w:rPr>
          <w:t>124.212A</w:t>
        </w:r>
      </w:hyperlink>
      <w:r>
        <w:rPr>
          <w:rFonts w:ascii="Times New Roman" w:hAnsi="Times New Roman"/>
          <w:b w:val="false"/>
          <w:i w:val="false"/>
          <w:color w:val="000000"/>
          <w:sz w:val="22"/>
        </w:rPr>
        <w:t xml:space="preserve">, registrants will record the retail sales of scheduled listed chemical products. If the real-time electronic pseudoephedrine tracking system (PTS) is unavailable for use, the purchase will be recorded in an alternate format and submitted to the PTS in accordance with subrule </w:t>
      </w:r>
      <w:hyperlink r:id="rId24">
        <w:r>
          <w:rPr>
            <w:rStyle w:val="Hyperlink"/>
            <w:rFonts w:ascii="Times New Roman" w:hAnsi="Times New Roman"/>
            <w:b w:val="false"/>
            <w:i w:val="false"/>
            <w:color w:val="000000"/>
            <w:sz w:val="22"/>
          </w:rPr>
          <w:t>553.11(3)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553.11(1)</w:t>
      </w:r>
      <w:r>
        <w:rPr>
          <w:rFonts w:ascii="Times New Roman" w:hAnsi="Times New Roman"/>
          <w:b w:val="false"/>
          <w:i w:val="false"/>
          <w:color w:val="000000"/>
          <w:sz w:val="22"/>
        </w:rPr>
        <w:t> </w:t>
      </w:r>
      <w:r>
        <w:rPr>
          <w:rFonts w:ascii="Times New Roman" w:hAnsi="Times New Roman"/>
          <w:b w:val="false"/>
          <w:i/>
          <w:color w:val="000000"/>
          <w:sz w:val="22"/>
        </w:rPr>
        <w:t xml:space="preserve">Age restriction. </w:t>
      </w:r>
      <w:r>
        <w:rPr>
          <w:rFonts w:ascii="Times New Roman" w:hAnsi="Times New Roman"/>
          <w:b w:val="false"/>
          <w:i w:val="false"/>
          <w:color w:val="000000"/>
          <w:sz w:val="22"/>
        </w:rPr>
        <w:t xml:space="preserve">Sales of scheduled listed chemical products are limited to persons aged 18 and 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553.11(2)</w:t>
      </w:r>
      <w:r>
        <w:rPr>
          <w:rFonts w:ascii="Times New Roman" w:hAnsi="Times New Roman"/>
          <w:b w:val="false"/>
          <w:i w:val="false"/>
          <w:color w:val="000000"/>
          <w:sz w:val="22"/>
        </w:rPr>
        <w:t> </w:t>
      </w:r>
      <w:r>
        <w:rPr>
          <w:rFonts w:ascii="Times New Roman" w:hAnsi="Times New Roman"/>
          <w:b w:val="false"/>
          <w:i/>
          <w:color w:val="000000"/>
          <w:sz w:val="22"/>
        </w:rPr>
        <w:t xml:space="preserve">Reporting elements. </w:t>
      </w:r>
      <w:r>
        <w:rPr>
          <w:rFonts w:ascii="Times New Roman" w:hAnsi="Times New Roman"/>
          <w:b w:val="false"/>
          <w:i w:val="false"/>
          <w:color w:val="000000"/>
          <w:sz w:val="22"/>
        </w:rPr>
        <w:t xml:space="preserve">In addition to the identified elements in </w:t>
      </w:r>
      <w:r>
        <w:rPr>
          <w:rFonts w:ascii="Times New Roman" w:hAnsi="Times New Roman"/>
          <w:b w:val="false"/>
          <w:i w:val="false"/>
          <w:color w:val="000000"/>
          <w:sz w:val="22"/>
        </w:rPr>
        <w:t>21 U.S.C. §830</w:t>
      </w:r>
      <w:r>
        <w:rPr>
          <w:rFonts w:ascii="Times New Roman" w:hAnsi="Times New Roman"/>
          <w:b w:val="false"/>
          <w:i w:val="false"/>
          <w:color w:val="000000"/>
          <w:sz w:val="22"/>
        </w:rPr>
        <w:t xml:space="preserve">, </w:t>
      </w:r>
      <w:r>
        <w:rPr>
          <w:rFonts w:ascii="Times New Roman" w:hAnsi="Times New Roman"/>
          <w:b w:val="false"/>
          <w:i w:val="false"/>
          <w:color w:val="000000"/>
          <w:sz w:val="22"/>
        </w:rPr>
        <w:t>21 CFR Part 1314</w:t>
      </w:r>
      <w:r>
        <w:rPr>
          <w:rFonts w:ascii="Times New Roman" w:hAnsi="Times New Roman"/>
          <w:b w:val="false"/>
          <w:i w:val="false"/>
          <w:color w:val="000000"/>
          <w:sz w:val="22"/>
        </w:rPr>
        <w:t xml:space="preserve">, and Iowa Code section </w:t>
      </w:r>
      <w:hyperlink r:id="rId25">
        <w:r>
          <w:rPr>
            <w:rStyle w:val="Hyperlink"/>
            <w:rFonts w:ascii="Times New Roman" w:hAnsi="Times New Roman"/>
            <w:b w:val="false"/>
            <w:i w:val="false"/>
            <w:color w:val="000000"/>
            <w:sz w:val="22"/>
          </w:rPr>
          <w:t>124.212A</w:t>
        </w:r>
      </w:hyperlink>
      <w:r>
        <w:rPr>
          <w:rFonts w:ascii="Times New Roman" w:hAnsi="Times New Roman"/>
          <w:b w:val="false"/>
          <w:i w:val="false"/>
          <w:color w:val="000000"/>
          <w:sz w:val="22"/>
        </w:rPr>
        <w:t xml:space="preserve">, the following information will be recorded: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purchaser’s current government-issued photo identification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milligrams of the scheduled listed chemical contained in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or unique identification of the individual who approved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applicable, the reason that a PTS recommendation to deny the transaction was overridden.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553.11(3)</w:t>
      </w:r>
      <w:r>
        <w:rPr>
          <w:rFonts w:ascii="Times New Roman" w:hAnsi="Times New Roman"/>
          <w:b w:val="false"/>
          <w:i w:val="false"/>
          <w:color w:val="000000"/>
          <w:sz w:val="22"/>
        </w:rPr>
        <w:t> </w:t>
      </w:r>
      <w:r>
        <w:rPr>
          <w:rFonts w:ascii="Times New Roman" w:hAnsi="Times New Roman"/>
          <w:b w:val="false"/>
          <w:i/>
          <w:color w:val="000000"/>
          <w:sz w:val="22"/>
        </w:rPr>
        <w:t xml:space="preserve">Alternate record format. </w:t>
      </w:r>
      <w:r>
        <w:rPr>
          <w:rFonts w:ascii="Times New Roman" w:hAnsi="Times New Roman"/>
          <w:b w:val="false"/>
          <w:i w:val="false"/>
          <w:color w:val="000000"/>
          <w:sz w:val="22"/>
        </w:rPr>
        <w:t xml:space="preserve">If needed, an alternate record will be maintained using one of the following options: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hard-copy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record in the pharmacy’s electronic prescription dispensing system that is capable of producing a hard-copy printout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in an electronic data collection system that captures each of the required data elements and that is capable of producing a hard-copy printout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553.11(4)</w:t>
      </w:r>
      <w:r>
        <w:rPr>
          <w:rFonts w:ascii="Times New Roman" w:hAnsi="Times New Roman"/>
          <w:b w:val="false"/>
          <w:i w:val="false"/>
          <w:color w:val="000000"/>
          <w:sz w:val="22"/>
        </w:rPr>
        <w:t> </w:t>
      </w:r>
      <w:r>
        <w:rPr>
          <w:rFonts w:ascii="Times New Roman" w:hAnsi="Times New Roman"/>
          <w:b w:val="false"/>
          <w:i/>
          <w:color w:val="000000"/>
          <w:sz w:val="22"/>
        </w:rPr>
        <w:t xml:space="preserve">Delayed submission to the PTS. </w:t>
      </w:r>
      <w:r>
        <w:rPr>
          <w:rFonts w:ascii="Times New Roman" w:hAnsi="Times New Roman"/>
          <w:b w:val="false"/>
          <w:i w:val="false"/>
          <w:color w:val="000000"/>
          <w:sz w:val="22"/>
        </w:rPr>
        <w:t xml:space="preserve">Sales of scheduled listed chemical products that are documented in an alternate record due to the inaccessibility of the PTS will be submitted to the PTS within 72 hours of the PTS being accessible, and such record will identify that it is a delayed entry.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481—553.12</w:t>
      </w:r>
      <w:r>
        <w:rPr>
          <w:rFonts w:ascii="Times New Roman" w:hAnsi="Times New Roman"/>
          <w:b/>
          <w:i w:val="false"/>
          <w:color w:val="000000"/>
          <w:sz w:val="22"/>
        </w:rPr>
        <w:t xml:space="preserve">(124) </w:t>
      </w:r>
      <w:r>
        <w:rPr>
          <w:rFonts w:ascii="Times New Roman" w:hAnsi="Times New Roman"/>
          <w:b/>
          <w:i w:val="false"/>
          <w:color w:val="000000"/>
          <w:sz w:val="22"/>
        </w:rPr>
        <w:t xml:space="preserve">PTS access. </w:t>
      </w:r>
      <w:r>
        <w:rPr>
          <w:rFonts w:ascii="Times New Roman" w:hAnsi="Times New Roman"/>
          <w:b w:val="false"/>
          <w:i w:val="false"/>
          <w:color w:val="000000"/>
          <w:sz w:val="22"/>
        </w:rPr>
        <w:t>Information collected in the PTS is confidential unless otherwise ordered by a court or released by the governor’s office of drug control policy (office) pursuant to state or federal law. Information may not be released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553.12(1)</w:t>
      </w:r>
      <w:r>
        <w:rPr>
          <w:rFonts w:ascii="Times New Roman" w:hAnsi="Times New Roman"/>
          <w:b w:val="false"/>
          <w:i w:val="false"/>
          <w:color w:val="000000"/>
          <w:sz w:val="22"/>
        </w:rPr>
        <w:t> </w:t>
      </w:r>
      <w:r>
        <w:rPr>
          <w:rFonts w:ascii="Times New Roman" w:hAnsi="Times New Roman"/>
          <w:b w:val="false"/>
          <w:i/>
          <w:color w:val="000000"/>
          <w:sz w:val="22"/>
        </w:rPr>
        <w:t xml:space="preserve">PTS administrators. </w:t>
      </w:r>
      <w:r>
        <w:rPr>
          <w:rFonts w:ascii="Times New Roman" w:hAnsi="Times New Roman"/>
          <w:b w:val="false"/>
          <w:i w:val="false"/>
          <w:color w:val="000000"/>
          <w:sz w:val="22"/>
        </w:rPr>
        <w:t xml:space="preserve">PTS administrator access to PTS database information will be pursuant only to reasonable suspicion or an ongoing investigation and only directly from the PTS database. PTS administrators may share PTS database information with law enforcement for purposes of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553.12(2)</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w:t>
      </w:r>
      <w:r>
        <w:rPr>
          <w:rFonts w:ascii="Times New Roman" w:hAnsi="Times New Roman"/>
          <w:b w:val="false"/>
          <w:i w:val="false"/>
          <w:color w:val="000000"/>
          <w:sz w:val="22"/>
        </w:rPr>
        <w:t>Law enforcement officer access to PTS database information will be pursuant to the officer’s official duties, which will be provided as part of a request for information from the PTS. Prior to requesting information from the PTS, a law enforcement officer will register with the PTS, which will require verification of the officer’s identity and approval by the office or the officer’s agency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553.12(3)</w:t>
      </w:r>
      <w:r>
        <w:rPr>
          <w:rFonts w:ascii="Times New Roman" w:hAnsi="Times New Roman"/>
          <w:b w:val="false"/>
          <w:i w:val="false"/>
          <w:color w:val="000000"/>
          <w:sz w:val="22"/>
        </w:rPr>
        <w:t> </w:t>
      </w:r>
      <w:r>
        <w:rPr>
          <w:rFonts w:ascii="Times New Roman" w:hAnsi="Times New Roman"/>
          <w:b w:val="false"/>
          <w:i/>
          <w:color w:val="000000"/>
          <w:sz w:val="22"/>
        </w:rPr>
        <w:t xml:space="preserve">Statistical data. </w:t>
      </w:r>
      <w:r>
        <w:rPr>
          <w:rFonts w:ascii="Times New Roman" w:hAnsi="Times New Roman"/>
          <w:b w:val="false"/>
          <w:i w:val="false"/>
          <w:color w:val="000000"/>
          <w:sz w:val="22"/>
        </w:rPr>
        <w:t xml:space="preserve">The PTS administrator, following establishment of confidentiality, may provide summary, statistical or aggregate data to public or private entities for statistical, research or educational purposes. Prior to release of any such data, the administrator will remove any 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553.12(4)</w:t>
      </w:r>
      <w:r>
        <w:rPr>
          <w:rFonts w:ascii="Times New Roman" w:hAnsi="Times New Roman"/>
          <w:b w:val="false"/>
          <w:i w:val="false"/>
          <w:color w:val="000000"/>
          <w:sz w:val="22"/>
        </w:rPr>
        <w:t> </w:t>
      </w:r>
      <w:r>
        <w:rPr>
          <w:rFonts w:ascii="Times New Roman" w:hAnsi="Times New Roman"/>
          <w:b w:val="false"/>
          <w:i/>
          <w:color w:val="000000"/>
          <w:sz w:val="22"/>
        </w:rPr>
        <w:t xml:space="preserve">Patients. </w:t>
      </w:r>
      <w:r>
        <w:rPr>
          <w:rFonts w:ascii="Times New Roman" w:hAnsi="Times New Roman"/>
          <w:b w:val="false"/>
          <w:i w:val="false"/>
          <w:color w:val="000000"/>
          <w:sz w:val="22"/>
        </w:rPr>
        <w:t>A patient may request and receive information regarding products reported to have been purchased by the patient. A request for a patient’s purchases and attempted purchases will be submitted to the office located at Oran Pape State Office Building, 215 East Seventh Street, Fifth Floor, Des Moines, Iowa 50319, and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name, including any aliases used by the patient; date of birth; gender; current address; and daytime phone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address where the patient resided during the requested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government-issued photo identification, which the PTS administrator will copy and maintain in the PTS records. If the request is submitted other than in person, a copy of the patient’s photo identification will be certified by a notary.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 signature. If the request is submitted other than in person, the patient’s signature will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553.12(5)</w:t>
      </w:r>
      <w:r>
        <w:rPr>
          <w:rFonts w:ascii="Times New Roman" w:hAnsi="Times New Roman"/>
          <w:b w:val="false"/>
          <w:i w:val="false"/>
          <w:color w:val="000000"/>
          <w:sz w:val="22"/>
        </w:rPr>
        <w:t> </w:t>
      </w:r>
      <w:r>
        <w:rPr>
          <w:rFonts w:ascii="Times New Roman" w:hAnsi="Times New Roman"/>
          <w:b w:val="false"/>
          <w:i/>
          <w:color w:val="000000"/>
          <w:sz w:val="22"/>
        </w:rPr>
        <w:t xml:space="preserve">Regulatory agencies. </w:t>
      </w:r>
      <w:r>
        <w:rPr>
          <w:rFonts w:ascii="Times New Roman" w:hAnsi="Times New Roman"/>
          <w:b w:val="false"/>
          <w:i w:val="false"/>
          <w:color w:val="000000"/>
          <w:sz w:val="22"/>
        </w:rPr>
        <w:t xml:space="preserve">A regulatory agency may access PTS database information only pursuant to an order, subpoena, or other means of legal compulsion and following submission of a request on a form provided by the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553.12(6)</w:t>
      </w:r>
      <w:r>
        <w:rPr>
          <w:rFonts w:ascii="Times New Roman" w:hAnsi="Times New Roman"/>
          <w:b w:val="false"/>
          <w:i w:val="false"/>
          <w:color w:val="000000"/>
          <w:sz w:val="22"/>
        </w:rPr>
        <w:t> </w:t>
      </w:r>
      <w:r>
        <w:rPr>
          <w:rFonts w:ascii="Times New Roman" w:hAnsi="Times New Roman"/>
          <w:b w:val="false"/>
          <w:i/>
          <w:color w:val="000000"/>
          <w:sz w:val="22"/>
        </w:rPr>
        <w:t xml:space="preserve">Pharmacy administrators. </w:t>
      </w:r>
      <w:r>
        <w:rPr>
          <w:rFonts w:ascii="Times New Roman" w:hAnsi="Times New Roman"/>
          <w:b w:val="false"/>
          <w:i w:val="false"/>
          <w:color w:val="000000"/>
          <w:sz w:val="22"/>
        </w:rPr>
        <w:t>A pharmacy or its authorized employees may only access PTS database information relating to the pharmacy’s sales, which may be provided to the board upon request of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553.12(7)</w:t>
      </w:r>
      <w:r>
        <w:rPr>
          <w:rFonts w:ascii="Times New Roman" w:hAnsi="Times New Roman"/>
          <w:b w:val="false"/>
          <w:i w:val="false"/>
          <w:color w:val="000000"/>
          <w:sz w:val="22"/>
        </w:rPr>
        <w:t> </w:t>
      </w:r>
      <w:r>
        <w:rPr>
          <w:rFonts w:ascii="Times New Roman" w:hAnsi="Times New Roman"/>
          <w:b w:val="false"/>
          <w:i/>
          <w:color w:val="000000"/>
          <w:sz w:val="22"/>
        </w:rPr>
        <w:t xml:space="preserve">Court orders and subpoenas. </w:t>
      </w:r>
      <w:r>
        <w:rPr>
          <w:rFonts w:ascii="Times New Roman" w:hAnsi="Times New Roman"/>
          <w:b w:val="false"/>
          <w:i w:val="false"/>
          <w:color w:val="000000"/>
          <w:sz w:val="22"/>
        </w:rPr>
        <w:t xml:space="preserve">The PTS administrator will provide database information in response to a court order or subpoena issued by a county attorney or a court upon a determination of probable cause.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481—553.13</w:t>
      </w:r>
      <w:r>
        <w:rPr>
          <w:rFonts w:ascii="Times New Roman" w:hAnsi="Times New Roman"/>
          <w:b/>
          <w:i w:val="false"/>
          <w:color w:val="000000"/>
          <w:sz w:val="22"/>
        </w:rPr>
        <w:t xml:space="preserve">(124,124B) </w:t>
      </w:r>
      <w:r>
        <w:rPr>
          <w:rFonts w:ascii="Times New Roman" w:hAnsi="Times New Roman"/>
          <w:b/>
          <w:i w:val="false"/>
          <w:color w:val="000000"/>
          <w:sz w:val="22"/>
        </w:rPr>
        <w:t xml:space="preserve">Temporary designation of controlled and precursor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cannabis-derived products, the board will modify the schedule of controlled substances in accordance with Iowa Code section </w:t>
      </w:r>
      <w:hyperlink r:id="rId26">
        <w:r>
          <w:rPr>
            <w:rStyle w:val="Hyperlink"/>
            <w:rFonts w:ascii="Times New Roman" w:hAnsi="Times New Roman"/>
            <w:b w:val="false"/>
            <w:i w:val="false"/>
            <w:color w:val="000000"/>
            <w:sz w:val="22"/>
          </w:rPr>
          <w:t>124.201A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553.13(2)</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27">
        <w:r>
          <w:rPr>
            <w:rStyle w:val="Hyperlink"/>
            <w:rFonts w:ascii="Times New Roman" w:hAnsi="Times New Roman"/>
            <w:b w:val="false"/>
            <w:i w:val="false"/>
            <w:color w:val="000000"/>
            <w:sz w:val="22"/>
          </w:rPr>
          <w:t>124.204(2)</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cq.</w:t>
      </w:r>
      <w:r>
        <w:rPr>
          <w:rFonts w:ascii="Times New Roman" w:hAnsi="Times New Roman"/>
          <w:b w:val="false"/>
          <w:i w:val="false"/>
          <w:color w:val="000000"/>
          <w:sz w:val="22"/>
        </w:rPr>
        <w:t>  </w:t>
      </w:r>
      <w:r>
        <w:rPr>
          <w:rFonts w:ascii="Times New Roman" w:hAnsi="Times New Roman"/>
          <w:b w:val="false"/>
          <w:i w:val="false"/>
          <w:color w:val="000000"/>
          <w:sz w:val="22"/>
        </w:rPr>
        <w:t>2-methyl-N-(1-phenethylpiperidin-4-yl)-N-phenylbutanamide. Other name: alpha’-Methyl butyryl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w:t>
      </w:r>
      <w:r>
        <w:rPr>
          <w:rFonts w:ascii="Times New Roman" w:hAnsi="Times New Roman"/>
          <w:b w:val="false"/>
          <w:i w:val="false"/>
          <w:color w:val="000000"/>
          <w:sz w:val="22"/>
        </w:rPr>
        <w:t>  </w:t>
      </w:r>
      <w:r>
        <w:rPr>
          <w:rFonts w:ascii="Times New Roman" w:hAnsi="Times New Roman"/>
          <w:b w:val="false"/>
          <w:i w:val="false"/>
          <w:color w:val="000000"/>
          <w:sz w:val="22"/>
        </w:rPr>
        <w:t xml:space="preserve">N-(1-(2,5-dimethoxyphenethyl)piperidin-4-yl)-N-phenylpropionamide. Other name: 2’,5’-Dimethoxyfentanyl.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cs.</w:t>
      </w:r>
      <w:r>
        <w:rPr>
          <w:rFonts w:ascii="Times New Roman" w:hAnsi="Times New Roman"/>
          <w:b w:val="false"/>
          <w:i w:val="false"/>
          <w:color w:val="000000"/>
          <w:sz w:val="22"/>
        </w:rPr>
        <w:t>  </w:t>
      </w:r>
      <w:r>
        <w:rPr>
          <w:rFonts w:ascii="Times New Roman" w:hAnsi="Times New Roman"/>
          <w:b w:val="false"/>
          <w:i w:val="false"/>
          <w:color w:val="000000"/>
          <w:sz w:val="22"/>
        </w:rPr>
        <w:t>N-(1-phenethylpiperidin-4-yl)-N-phenylfuran-3-carboxamide. Other name: 3-Furanyl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ct.</w:t>
      </w:r>
      <w:r>
        <w:rPr>
          <w:rFonts w:ascii="Times New Roman" w:hAnsi="Times New Roman"/>
          <w:b w:val="false"/>
          <w:i w:val="false"/>
          <w:color w:val="000000"/>
          <w:sz w:val="22"/>
        </w:rPr>
        <w:t>  </w:t>
      </w:r>
      <w:r>
        <w:rPr>
          <w:rFonts w:ascii="Times New Roman" w:hAnsi="Times New Roman"/>
          <w:b w:val="false"/>
          <w:i w:val="false"/>
          <w:color w:val="000000"/>
          <w:sz w:val="22"/>
        </w:rPr>
        <w:t>3-methyl-N-(1-phenethylpiperidin-4-yl)-N-phenylbutanamide. Other name: Isovaleryl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w:t>
      </w:r>
      <w:r>
        <w:rPr>
          <w:rFonts w:ascii="Times New Roman" w:hAnsi="Times New Roman"/>
          <w:b w:val="false"/>
          <w:i w:val="false"/>
          <w:color w:val="000000"/>
          <w:sz w:val="22"/>
        </w:rPr>
        <w:t>  </w:t>
      </w:r>
      <w:r>
        <w:rPr>
          <w:rFonts w:ascii="Times New Roman" w:hAnsi="Times New Roman"/>
          <w:b w:val="false"/>
          <w:i w:val="false"/>
          <w:color w:val="000000"/>
          <w:sz w:val="22"/>
        </w:rPr>
        <w:t>N-(3-fluorophenyl)-N-(1-phenethylpiperidin-4-yl)propionamide. Other name: meta-Fluorofentanyl.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cv.</w:t>
      </w:r>
      <w:r>
        <w:rPr>
          <w:rFonts w:ascii="Times New Roman" w:hAnsi="Times New Roman"/>
          <w:b w:val="false"/>
          <w:i w:val="false"/>
          <w:color w:val="000000"/>
          <w:sz w:val="22"/>
        </w:rPr>
        <w:t>  </w:t>
      </w:r>
      <w:r>
        <w:rPr>
          <w:rFonts w:ascii="Times New Roman" w:hAnsi="Times New Roman"/>
          <w:b w:val="false"/>
          <w:i w:val="false"/>
          <w:color w:val="000000"/>
          <w:sz w:val="22"/>
        </w:rPr>
        <w:t>N-(3-fluorophenyl)-N-(1-phenethylpiperidin-4-yl)isobutyramide. Other name: meta-Fluoroisobutyryl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w:t>
      </w:r>
      <w:r>
        <w:rPr>
          <w:rFonts w:ascii="Times New Roman" w:hAnsi="Times New Roman"/>
          <w:b w:val="false"/>
          <w:i w:val="false"/>
          <w:color w:val="000000"/>
          <w:sz w:val="22"/>
        </w:rPr>
        <w:t>  </w:t>
      </w:r>
      <w:r>
        <w:rPr>
          <w:rFonts w:ascii="Times New Roman" w:hAnsi="Times New Roman"/>
          <w:b w:val="false"/>
          <w:i w:val="false"/>
          <w:color w:val="000000"/>
          <w:sz w:val="22"/>
        </w:rPr>
        <w:t>N-(2-fluorophenyl)-N-(1-phenethylpiperidin-4-yl)furan-2-carboxamide. Other name: ortho-Fluorofuranyl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cx.</w:t>
      </w:r>
      <w:r>
        <w:rPr>
          <w:rFonts w:ascii="Times New Roman" w:hAnsi="Times New Roman"/>
          <w:b w:val="false"/>
          <w:i w:val="false"/>
          <w:color w:val="000000"/>
          <w:sz w:val="22"/>
        </w:rPr>
        <w:t>  </w:t>
      </w:r>
      <w:r>
        <w:rPr>
          <w:rFonts w:ascii="Times New Roman" w:hAnsi="Times New Roman"/>
          <w:b w:val="false"/>
          <w:i w:val="false"/>
          <w:color w:val="000000"/>
          <w:sz w:val="22"/>
        </w:rPr>
        <w:t>N-(4-methoxyphenyl)-N-(1-phenethylpiperidin-4-yl)furan-2-carboxamide. Other name: para-Methoxyfuranyl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cy.</w:t>
      </w:r>
      <w:r>
        <w:rPr>
          <w:rFonts w:ascii="Times New Roman" w:hAnsi="Times New Roman"/>
          <w:b w:val="false"/>
          <w:i w:val="false"/>
          <w:color w:val="000000"/>
          <w:sz w:val="22"/>
        </w:rPr>
        <w:t>  </w:t>
      </w:r>
      <w:r>
        <w:rPr>
          <w:rFonts w:ascii="Times New Roman" w:hAnsi="Times New Roman"/>
          <w:b w:val="false"/>
          <w:i w:val="false"/>
          <w:color w:val="000000"/>
          <w:sz w:val="22"/>
        </w:rPr>
        <w:t>N-(4-methylphenyl)-N-(1-phenethylpiperidin-4-yl)cyclopropanecarboxamide. Other name: para-Methylcyclopropyl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cz.</w:t>
      </w:r>
      <w:r>
        <w:rPr>
          <w:rFonts w:ascii="Times New Roman" w:hAnsi="Times New Roman"/>
          <w:b w:val="false"/>
          <w:i w:val="false"/>
          <w:color w:val="000000"/>
          <w:sz w:val="22"/>
        </w:rPr>
        <w:t>  </w:t>
      </w:r>
      <w:r>
        <w:rPr>
          <w:rFonts w:ascii="Times New Roman" w:hAnsi="Times New Roman"/>
          <w:b w:val="false"/>
          <w:i w:val="false"/>
          <w:color w:val="000000"/>
          <w:sz w:val="22"/>
        </w:rPr>
        <w:t xml:space="preserve">1-(2-methyl-4-(3-phenylprop-2-en-1-yl)piperazin-1-yl)butan-1-one. Other name: 2-Methyl AP-237.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553.13(3)</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28">
        <w:r>
          <w:rPr>
            <w:rStyle w:val="Hyperlink"/>
            <w:rFonts w:ascii="Times New Roman" w:hAnsi="Times New Roman"/>
            <w:b w:val="false"/>
            <w:i w:val="false"/>
            <w:color w:val="000000"/>
            <w:sz w:val="22"/>
          </w:rPr>
          <w:t>124.204(4)</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cn.</w:t>
      </w:r>
      <w:r>
        <w:rPr>
          <w:rFonts w:ascii="Times New Roman" w:hAnsi="Times New Roman"/>
          <w:b w:val="false"/>
          <w:i w:val="false"/>
          <w:color w:val="000000"/>
          <w:sz w:val="22"/>
        </w:rPr>
        <w:t>  </w:t>
      </w:r>
      <w:r>
        <w:rPr>
          <w:rFonts w:ascii="Times New Roman" w:hAnsi="Times New Roman"/>
          <w:b w:val="false"/>
          <w:i w:val="false"/>
          <w:color w:val="000000"/>
          <w:sz w:val="22"/>
        </w:rPr>
        <w:t>N-(1-amino-3,3-dimethyl-1-oxobutan-2-yl)-1-butyl-1H-indazole-3-carboxamide. Other name: ADB—BUTINACA.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w:t>
      </w:r>
      <w:r>
        <w:rPr>
          <w:rFonts w:ascii="Times New Roman" w:hAnsi="Times New Roman"/>
          <w:b w:val="false"/>
          <w:i w:val="false"/>
          <w:color w:val="000000"/>
          <w:sz w:val="22"/>
        </w:rPr>
        <w:t>  </w:t>
      </w:r>
      <w:r>
        <w:rPr>
          <w:rFonts w:ascii="Times New Roman" w:hAnsi="Times New Roman"/>
          <w:b w:val="false"/>
          <w:i w:val="false"/>
          <w:color w:val="000000"/>
          <w:sz w:val="22"/>
        </w:rPr>
        <w:t>4-methyl-1-phenyl-2-(pyrrolidin-1-yl)pentan-1-one. Other name: alpha-PiHP.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cp.</w:t>
      </w:r>
      <w:r>
        <w:rPr>
          <w:rFonts w:ascii="Times New Roman" w:hAnsi="Times New Roman"/>
          <w:b w:val="false"/>
          <w:i w:val="false"/>
          <w:color w:val="000000"/>
          <w:sz w:val="22"/>
        </w:rPr>
        <w:t>  </w:t>
      </w:r>
      <w:r>
        <w:rPr>
          <w:rFonts w:ascii="Times New Roman" w:hAnsi="Times New Roman"/>
          <w:b w:val="false"/>
          <w:i w:val="false"/>
          <w:color w:val="000000"/>
          <w:sz w:val="22"/>
        </w:rPr>
        <w:t>2-(methylamino)-1-(3-methylphenyl)propan-1-one. Other names: 3—MMC; 3-methylmethcathinone.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553.13(4)</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29">
        <w:r>
          <w:rPr>
            <w:rStyle w:val="Hyperlink"/>
            <w:rFonts w:ascii="Times New Roman" w:hAnsi="Times New Roman"/>
            <w:b w:val="false"/>
            <w:i w:val="false"/>
            <w:color w:val="000000"/>
            <w:sz w:val="22"/>
          </w:rPr>
          <w:t>124.204(9)</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Methyl 3,3-dimethyl-2-(1-(pent-4-en-1-yl)-1H-indazole-3-carboxamido)butanoate. Other name: MDMB—4en—PINACA.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Methyl 2-[[1-(4-fluorobutyl)indole-3-carbonyl]amino]-3,3-dimethyl-butanoate. Other names: 4F—MDMB—BUTICA; 4F—MDMB—BICA.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N-(1-amino-3,3-dimethyl-1-oxobutan-2-yl)-1-(pent-4-en-1-yl)-1H-indazole-3-carboxamide. Other name: ADB—4en—PINACA.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5-Pentyl-2-(2-phenylpropan-2-yl)pyrido[4,3-b]indol-1-one. Other names: CUMYL—PEGACLONE; SGT—151.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Ethyl 2-[[1-(5-fluoropentyl)indole-3-carbonyl]amino]-3,3-dimethyl-butanoate. Other names: 5F—EDMB—PICA; 5F—EDMB—2201.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Methyl 2-(1-(4-fluorobenzyl)-1H-indole-3-carboxamido)-3-methyl butanoate. Other name: MMB—FUBICA.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N-ethyl-2-(2-(4-isopropoxybenzyl)-5-nitro-1H-benzimidazol-1-yl)ethan-1-amine, its isomers, esters, ethers, salts, and salts of isomers, esters and ethers. Other name: N-desethyl isotonitazene.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2-(4-ethoxybenzyl)-5-nitro-1-(2-piperidin-1-yl)-1H-benzimidazole, its isomers, esters, ethers, salts, and salts of isomers, esters and ethers. Other names: N-piperidinyl etonitazene; etonitazepipne.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553.13(5)</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30">
        <w:r>
          <w:rPr>
            <w:rStyle w:val="Hyperlink"/>
            <w:rFonts w:ascii="Times New Roman" w:hAnsi="Times New Roman"/>
            <w:b w:val="false"/>
            <w:i w:val="false"/>
            <w:color w:val="000000"/>
            <w:sz w:val="22"/>
          </w:rPr>
          <w:t>124.210(3)</w:t>
        </w:r>
      </w:hyperlink>
      <w:r>
        <w:rPr>
          <w:rFonts w:ascii="Times New Roman" w:hAnsi="Times New Roman"/>
          <w:b w:val="false"/>
          <w:i w:val="false"/>
          <w:color w:val="000000"/>
          <w:sz w:val="22"/>
        </w:rPr>
        <w:t xml:space="preserve"> by adding the following new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bh.</w:t>
      </w:r>
      <w:r>
        <w:rPr>
          <w:rFonts w:ascii="Times New Roman" w:hAnsi="Times New Roman"/>
          <w:b w:val="false"/>
          <w:i w:val="false"/>
          <w:color w:val="000000"/>
          <w:sz w:val="22"/>
        </w:rPr>
        <w:t>  </w:t>
      </w:r>
      <w:r>
        <w:rPr>
          <w:rFonts w:ascii="Times New Roman" w:hAnsi="Times New Roman"/>
          <w:b w:val="false"/>
          <w:i w:val="false"/>
          <w:color w:val="000000"/>
          <w:sz w:val="22"/>
        </w:rPr>
        <w:t>Zuranolone.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481—553.14</w:t>
      </w:r>
      <w:r>
        <w:rPr>
          <w:rFonts w:ascii="Times New Roman" w:hAnsi="Times New Roman"/>
          <w:b/>
          <w:i w:val="false"/>
          <w:color w:val="000000"/>
          <w:sz w:val="22"/>
        </w:rPr>
        <w:t xml:space="preserve">(124) </w:t>
      </w:r>
      <w:r>
        <w:rPr>
          <w:rFonts w:ascii="Times New Roman" w:hAnsi="Times New Roman"/>
          <w:b/>
          <w:i w:val="false"/>
          <w:color w:val="000000"/>
          <w:sz w:val="22"/>
        </w:rPr>
        <w:t xml:space="preserve">Excluded and exempt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553.14(1)</w:t>
      </w:r>
      <w:r>
        <w:rPr>
          <w:rFonts w:ascii="Times New Roman" w:hAnsi="Times New Roman"/>
          <w:b w:val="false"/>
          <w:i w:val="false"/>
          <w:color w:val="000000"/>
          <w:sz w:val="22"/>
        </w:rPr>
        <w:t> </w:t>
      </w:r>
      <w:r>
        <w:rPr>
          <w:rFonts w:ascii="Times New Roman" w:hAnsi="Times New Roman"/>
          <w:b w:val="false"/>
          <w:i/>
          <w:color w:val="000000"/>
          <w:sz w:val="22"/>
        </w:rPr>
        <w:t xml:space="preserve">Excluded nonnarcotic products. </w:t>
      </w:r>
      <w:r>
        <w:rPr>
          <w:rFonts w:ascii="Times New Roman" w:hAnsi="Times New Roman"/>
          <w:b w:val="false"/>
          <w:i w:val="false"/>
          <w:color w:val="000000"/>
          <w:sz w:val="22"/>
        </w:rPr>
        <w:t xml:space="preserve">The board hereby excludes from all schedules the current list of excluded nonnarcotic products identified in </w:t>
      </w:r>
      <w:r>
        <w:rPr>
          <w:rFonts w:ascii="Times New Roman" w:hAnsi="Times New Roman"/>
          <w:b w:val="false"/>
          <w:i w:val="false"/>
          <w:color w:val="000000"/>
          <w:sz w:val="22"/>
        </w:rPr>
        <w:t>21 CFR §1308.22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553.14(2)</w:t>
      </w:r>
      <w:r>
        <w:rPr>
          <w:rFonts w:ascii="Times New Roman" w:hAnsi="Times New Roman"/>
          <w:b w:val="false"/>
          <w:i w:val="false"/>
          <w:color w:val="000000"/>
          <w:sz w:val="22"/>
        </w:rPr>
        <w:t> </w:t>
      </w:r>
      <w:r>
        <w:rPr>
          <w:rFonts w:ascii="Times New Roman" w:hAnsi="Times New Roman"/>
          <w:b w:val="false"/>
          <w:i/>
          <w:color w:val="000000"/>
          <w:sz w:val="22"/>
        </w:rPr>
        <w:t xml:space="preserve">Exempt substances. </w:t>
      </w:r>
      <w:r>
        <w:rPr>
          <w:rFonts w:ascii="Times New Roman" w:hAnsi="Times New Roman"/>
          <w:b w:val="false"/>
          <w:i w:val="false"/>
          <w:color w:val="000000"/>
          <w:sz w:val="22"/>
        </w:rPr>
        <w:t xml:space="preserve">With the exception of listed butalbital products, the board hereby excludes from all schedules the current list of exempted prescription products identified in </w:t>
      </w:r>
      <w:r>
        <w:rPr>
          <w:rFonts w:ascii="Times New Roman" w:hAnsi="Times New Roman"/>
          <w:b w:val="false"/>
          <w:i w:val="false"/>
          <w:color w:val="000000"/>
          <w:sz w:val="22"/>
        </w:rPr>
        <w:t>21 CFR §1308.32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481—553.15</w:t>
      </w:r>
      <w:r>
        <w:rPr>
          <w:rFonts w:ascii="Times New Roman" w:hAnsi="Times New Roman"/>
          <w:b/>
          <w:i w:val="false"/>
          <w:color w:val="000000"/>
          <w:sz w:val="22"/>
        </w:rPr>
        <w:t xml:space="preserve">(124B) </w:t>
      </w:r>
      <w:r>
        <w:rPr>
          <w:rFonts w:ascii="Times New Roman" w:hAnsi="Times New Roman"/>
          <w:b/>
          <w:i w:val="false"/>
          <w:color w:val="000000"/>
          <w:sz w:val="22"/>
        </w:rPr>
        <w:t xml:space="preserve">Precursor substances—reports. </w:t>
      </w:r>
      <w:r>
        <w:rPr>
          <w:rFonts w:ascii="Times New Roman" w:hAnsi="Times New Roman"/>
          <w:b w:val="false"/>
          <w:i w:val="false"/>
          <w:color w:val="000000"/>
          <w:sz w:val="22"/>
        </w:rPr>
        <w:t xml:space="preserve">Reports relating to the delivery, receipt, or theft or loss of precursor substances will be in accordance with the requirements identified in Iowa Code chapter </w:t>
      </w:r>
      <w:hyperlink r:id="rId31">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553.15(1)</w:t>
      </w:r>
      <w:r>
        <w:rPr>
          <w:rFonts w:ascii="Times New Roman" w:hAnsi="Times New Roman"/>
          <w:b w:val="false"/>
          <w:i w:val="false"/>
          <w:color w:val="000000"/>
          <w:sz w:val="22"/>
        </w:rPr>
        <w:t> </w:t>
      </w:r>
      <w:r>
        <w:rPr>
          <w:rFonts w:ascii="Times New Roman" w:hAnsi="Times New Roman"/>
          <w:b w:val="false"/>
          <w:i/>
          <w:color w:val="000000"/>
          <w:sz w:val="22"/>
        </w:rPr>
        <w:t xml:space="preserve">Receipt from out-of-state source. </w:t>
      </w:r>
      <w:r>
        <w:rPr>
          <w:rFonts w:ascii="Times New Roman" w:hAnsi="Times New Roman"/>
          <w:b w:val="false"/>
          <w:i w:val="false"/>
          <w:color w:val="000000"/>
          <w:sz w:val="22"/>
        </w:rPr>
        <w:t>A report of the receipt of a precursor substance from a source outside the state will be submitted no more than 14 days following such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553.15(2)</w:t>
      </w:r>
      <w:r>
        <w:rPr>
          <w:rFonts w:ascii="Times New Roman" w:hAnsi="Times New Roman"/>
          <w:b w:val="false"/>
          <w:i w:val="false"/>
          <w:color w:val="000000"/>
          <w:sz w:val="22"/>
        </w:rPr>
        <w:t> </w:t>
      </w:r>
      <w:r>
        <w:rPr>
          <w:rFonts w:ascii="Times New Roman" w:hAnsi="Times New Roman"/>
          <w:b w:val="false"/>
          <w:i/>
          <w:color w:val="000000"/>
          <w:sz w:val="22"/>
        </w:rPr>
        <w:t xml:space="preserve">Report elements—receipts and deliveries. </w:t>
      </w:r>
      <w:r>
        <w:rPr>
          <w:rFonts w:ascii="Times New Roman" w:hAnsi="Times New Roman"/>
          <w:b w:val="false"/>
          <w:i w:val="false"/>
          <w:color w:val="000000"/>
          <w:sz w:val="22"/>
        </w:rPr>
        <w:t xml:space="preserve">In addition to the elements identified in Iowa Code section </w:t>
      </w:r>
      <w:hyperlink r:id="rId32">
        <w:r>
          <w:rPr>
            <w:rStyle w:val="Hyperlink"/>
            <w:rFonts w:ascii="Times New Roman" w:hAnsi="Times New Roman"/>
            <w:b w:val="false"/>
            <w:i w:val="false"/>
            <w:color w:val="000000"/>
            <w:sz w:val="22"/>
          </w:rPr>
          <w:t>124B.7(1)</w:t>
        </w:r>
      </w:hyperlink>
      <w:r>
        <w:rPr>
          <w:rFonts w:ascii="Times New Roman" w:hAnsi="Times New Roman"/>
          <w:b w:val="false"/>
          <w:i w:val="false"/>
          <w:color w:val="000000"/>
          <w:sz w:val="22"/>
        </w:rPr>
        <w:t>, a report will include the signature of the person or the signature of an officer, authorized agent, or authorized employee of the business receiving or selling, transferring, or furnishing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553.15(3)</w:t>
      </w:r>
      <w:r>
        <w:rPr>
          <w:rFonts w:ascii="Times New Roman" w:hAnsi="Times New Roman"/>
          <w:b w:val="false"/>
          <w:i w:val="false"/>
          <w:color w:val="000000"/>
          <w:sz w:val="22"/>
        </w:rPr>
        <w:t> </w:t>
      </w:r>
      <w:r>
        <w:rPr>
          <w:rFonts w:ascii="Times New Roman" w:hAnsi="Times New Roman"/>
          <w:b w:val="false"/>
          <w:i/>
          <w:color w:val="000000"/>
          <w:sz w:val="22"/>
        </w:rPr>
        <w:t xml:space="preserve">Report elements—theft or loss. </w:t>
      </w:r>
      <w:r>
        <w:rPr>
          <w:rFonts w:ascii="Times New Roman" w:hAnsi="Times New Roman"/>
          <w:b w:val="false"/>
          <w:i w:val="false"/>
          <w:color w:val="000000"/>
          <w:sz w:val="22"/>
        </w:rPr>
        <w:t xml:space="preserve">In addition to the elements identified in Iowa Code section </w:t>
      </w:r>
      <w:hyperlink r:id="rId33">
        <w:r>
          <w:rPr>
            <w:rStyle w:val="Hyperlink"/>
            <w:rFonts w:ascii="Times New Roman" w:hAnsi="Times New Roman"/>
            <w:b w:val="false"/>
            <w:i w:val="false"/>
            <w:color w:val="000000"/>
            <w:sz w:val="22"/>
          </w:rPr>
          <w:t>124B.7(1)</w:t>
        </w:r>
      </w:hyperlink>
      <w:r>
        <w:rPr>
          <w:rFonts w:ascii="Times New Roman" w:hAnsi="Times New Roman"/>
          <w:b w:val="false"/>
          <w:i w:val="false"/>
          <w:color w:val="000000"/>
          <w:sz w:val="22"/>
        </w:rPr>
        <w:t>, a report will include the following relating to the missing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number of the reporting person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reporting person or an officer, authorized agent, or authorized employee of the reporting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who transported the substance and the date of the shipment,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553.15(4)</w:t>
      </w:r>
      <w:r>
        <w:rPr>
          <w:rFonts w:ascii="Times New Roman" w:hAnsi="Times New Roman"/>
          <w:b w:val="false"/>
          <w:i w:val="false"/>
          <w:color w:val="000000"/>
          <w:sz w:val="22"/>
        </w:rPr>
        <w:t> </w:t>
      </w:r>
      <w:r>
        <w:rPr>
          <w:rFonts w:ascii="Times New Roman" w:hAnsi="Times New Roman"/>
          <w:b w:val="false"/>
          <w:i/>
          <w:color w:val="000000"/>
          <w:sz w:val="22"/>
        </w:rPr>
        <w:t xml:space="preserve">Alternative reporting options. </w:t>
      </w:r>
      <w:r>
        <w:rPr>
          <w:rFonts w:ascii="Times New Roman" w:hAnsi="Times New Roman"/>
          <w:b w:val="false"/>
          <w:i w:val="false"/>
          <w:color w:val="000000"/>
          <w:sz w:val="22"/>
        </w:rPr>
        <w:t xml:space="preserve">Pursuant to Iowa Code section </w:t>
      </w:r>
      <w:hyperlink r:id="rId34">
        <w:r>
          <w:rPr>
            <w:rStyle w:val="Hyperlink"/>
            <w:rFonts w:ascii="Times New Roman" w:hAnsi="Times New Roman"/>
            <w:b w:val="false"/>
            <w:i w:val="false"/>
            <w:color w:val="000000"/>
            <w:sz w:val="22"/>
          </w:rPr>
          <w:t>124B.7(2)</w:t>
        </w:r>
      </w:hyperlink>
      <w:r>
        <w:rPr>
          <w:rFonts w:ascii="Times New Roman" w:hAnsi="Times New Roman"/>
          <w:b w:val="false"/>
          <w:i w:val="false"/>
          <w:color w:val="000000"/>
          <w:sz w:val="22"/>
        </w:rPr>
        <w:t>, the board may consider requests from permittees to submit reports monthly or via electronic or computer-generated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to submit transaction reports on a monthly basis or via electronic or computer-generated means will be submitted to the board at least 21 days prior to the board meeting at which the request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permittee of its decision and identify the reporting format that is authorized. The permittee will be responsible for the accuracy of all reports and the prompt correction of any data entry or transmission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Authorization to report monthly or via electronic or computer-generated means is at the board’s discretion and may be rescinded with 30 days’ advance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Reports are not required for the distribution of exempt chemical mixtures or for transactions deemed excluded by </w:t>
      </w:r>
      <w:r>
        <w:rPr>
          <w:rFonts w:ascii="Times New Roman" w:hAnsi="Times New Roman"/>
          <w:b w:val="false"/>
          <w:i w:val="false"/>
          <w:color w:val="000000"/>
          <w:sz w:val="22"/>
        </w:rPr>
        <w:t>21 CFR Part 1310</w:t>
      </w:r>
      <w:r>
        <w:rPr>
          <w:rFonts w:ascii="Times New Roman" w:hAnsi="Times New Roman"/>
          <w:b w:val="false"/>
          <w:i w:val="false"/>
          <w:color w:val="000000"/>
          <w:sz w:val="22"/>
        </w:rPr>
        <w:t xml:space="preserve"> as amended on October 31,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481—553.16</w:t>
      </w:r>
      <w:r>
        <w:rPr>
          <w:rFonts w:ascii="Times New Roman" w:hAnsi="Times New Roman"/>
          <w:b/>
          <w:i w:val="false"/>
          <w:color w:val="000000"/>
          <w:sz w:val="22"/>
        </w:rPr>
        <w:t xml:space="preserve">(124B) </w:t>
      </w:r>
      <w:r>
        <w:rPr>
          <w:rFonts w:ascii="Times New Roman" w:hAnsi="Times New Roman"/>
          <w:b/>
          <w:i w:val="false"/>
          <w:color w:val="000000"/>
          <w:sz w:val="22"/>
        </w:rPr>
        <w:t xml:space="preserve">Precursor substances—identification of purchaser or other recipient.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553.16(1)</w:t>
      </w:r>
      <w:r>
        <w:rPr>
          <w:rFonts w:ascii="Times New Roman" w:hAnsi="Times New Roman"/>
          <w:b w:val="false"/>
          <w:i w:val="false"/>
          <w:color w:val="000000"/>
          <w:sz w:val="22"/>
        </w:rPr>
        <w:t> </w:t>
      </w:r>
      <w:r>
        <w:rPr>
          <w:rFonts w:ascii="Times New Roman" w:hAnsi="Times New Roman"/>
          <w:b w:val="false"/>
          <w:i/>
          <w:color w:val="000000"/>
          <w:sz w:val="22"/>
        </w:rPr>
        <w:t xml:space="preserve">Face-to-face transactions. </w:t>
      </w:r>
      <w:r>
        <w:rPr>
          <w:rFonts w:ascii="Times New Roman" w:hAnsi="Times New Roman"/>
          <w:b w:val="false"/>
          <w:i w:val="false"/>
          <w:color w:val="000000"/>
          <w:sz w:val="22"/>
        </w:rPr>
        <w:t xml:space="preserve">In addition to the elements identified in Iowa Code section </w:t>
      </w:r>
      <w:hyperlink r:id="rId35">
        <w:r>
          <w:rPr>
            <w:rStyle w:val="Hyperlink"/>
            <w:rFonts w:ascii="Times New Roman" w:hAnsi="Times New Roman"/>
            <w:b w:val="false"/>
            <w:i w:val="false"/>
            <w:color w:val="000000"/>
            <w:sz w:val="22"/>
          </w:rPr>
          <w:t>124B.3(2)</w:t>
        </w:r>
      </w:hyperlink>
      <w:r>
        <w:rPr>
          <w:rFonts w:ascii="Times New Roman" w:hAnsi="Times New Roman"/>
          <w:b w:val="false"/>
          <w:i/>
          <w:color w:val="000000"/>
          <w:sz w:val="22"/>
        </w:rPr>
        <w:t>“c,”</w:t>
      </w:r>
      <w:r>
        <w:rPr>
          <w:rFonts w:ascii="Times New Roman" w:hAnsi="Times New Roman"/>
          <w:b w:val="false"/>
          <w:i w:val="false"/>
          <w:color w:val="000000"/>
          <w:sz w:val="22"/>
        </w:rPr>
        <w:t xml:space="preserve"> a letter of authorization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purchaser’s representative authorized to receive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purchaser’s representative, completed in the presence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553.16(2)</w:t>
      </w:r>
      <w:r>
        <w:rPr>
          <w:rFonts w:ascii="Times New Roman" w:hAnsi="Times New Roman"/>
          <w:b w:val="false"/>
          <w:i w:val="false"/>
          <w:color w:val="000000"/>
          <w:sz w:val="22"/>
        </w:rPr>
        <w:t> </w:t>
      </w:r>
      <w:r>
        <w:rPr>
          <w:rFonts w:ascii="Times New Roman" w:hAnsi="Times New Roman"/>
          <w:b w:val="false"/>
          <w:i/>
          <w:color w:val="000000"/>
          <w:sz w:val="22"/>
        </w:rPr>
        <w:t xml:space="preserve">Non-face-to-face transactions. </w:t>
      </w:r>
      <w:r>
        <w:rPr>
          <w:rFonts w:ascii="Times New Roman" w:hAnsi="Times New Roman"/>
          <w:b w:val="false"/>
          <w:i w:val="false"/>
          <w:color w:val="000000"/>
          <w:sz w:val="22"/>
        </w:rPr>
        <w:t>Prior to furnishing any precursor substance via a transaction that is not face-to-face, the permittee will require a letter of authorization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entity name, address, telephone number, and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that identifies how the substance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of an officer, authorized agent, or authorized employee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typed or printed name and title of the signatory.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6">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and chapter </w:t>
      </w:r>
      <w:hyperlink r:id="rId37">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9339C</w:t>
      </w:r>
      <w:r>
        <w:rPr>
          <w:rFonts w:ascii="Times New Roman" w:hAnsi="Times New Roman"/>
          <w:b w:val="false"/>
          <w:i w:val="false"/>
          <w:color w:val="000000"/>
          <w:sz w:val="21"/>
        </w:rPr>
        <w:t xml:space="preserve"> (Notice ARC 8428C, IAB 11/27/24)</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553 </w:t>
      </w:r>
      <w:r>
        <w:rPr>
          <w:rFonts w:ascii="Times New Roman" w:hAnsi="Times New Roman"/>
          <w:b/>
          <w:i w:val="false"/>
          <w:color w:val="000000"/>
          <w:sz w:val="22"/>
        </w:rPr>
        <w:t>[ARC 9339C]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3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co/chapter/124.306.pdf" Type="http://schemas.openxmlformats.org/officeDocument/2006/relationships/hyperlink" Id="rId6"/>
    <Relationship TargetMode="External" Target="https://www.legis.iowa.gov/docs/ico/chapter/124.302.pdf" Type="http://schemas.openxmlformats.org/officeDocument/2006/relationships/hyperlink" Id="rId7"/>
    <Relationship TargetMode="External" Target="https://www.legis.iowa.gov/docs/iac/rule/481.553.6.pdf" Type="http://schemas.openxmlformats.org/officeDocument/2006/relationships/hyperlink" Id="rId8"/>
    <Relationship TargetMode="External" Target="https://www.legis.iowa.gov/docs/iac/rule/481.553.6.pdf" Type="http://schemas.openxmlformats.org/officeDocument/2006/relationships/hyperlink" Id="rId9"/>
    <Relationship TargetMode="External" Target="https://www.legis.iowa.gov/docs/iac/rule/481.553.7.pdf" Type="http://schemas.openxmlformats.org/officeDocument/2006/relationships/hyperlink" Id="rId10"/>
    <Relationship TargetMode="External" Target="https://www.legis.iowa.gov/docs/iac/rule/481.553.6.pdf" Type="http://schemas.openxmlformats.org/officeDocument/2006/relationships/hyperlink" Id="rId11"/>
    <Relationship TargetMode="External" Target="https://www.legis.iowa.gov/docs/iac/rule/481.553.6.pdf" Type="http://schemas.openxmlformats.org/officeDocument/2006/relationships/hyperlink" Id="rId12"/>
    <Relationship TargetMode="External" Target="https://www.legis.iowa.gov/docs/iac/rule/481.553.6.pdf" Type="http://schemas.openxmlformats.org/officeDocument/2006/relationships/hyperlink" Id="rId13"/>
    <Relationship TargetMode="External" Target="https://www.legis.iowa.gov/docs/iac/rule/481.553.6.pdf" Type="http://schemas.openxmlformats.org/officeDocument/2006/relationships/hyperlink" Id="rId14"/>
    <Relationship TargetMode="External" Target="https://www.legis.iowa.gov/docs/iac/rule/481.553.6.pdf" Type="http://schemas.openxmlformats.org/officeDocument/2006/relationships/hyperlink" Id="rId15"/>
    <Relationship TargetMode="External" Target="https://www.legis.iowa.gov/docs/iac/rule/481.553.6.pdf" Type="http://schemas.openxmlformats.org/officeDocument/2006/relationships/hyperlink" Id="rId16"/>
    <Relationship TargetMode="External" Target="https://www.legis.iowa.gov/docs/iac/rule/481.553.6.pdf" Type="http://schemas.openxmlformats.org/officeDocument/2006/relationships/hyperlink" Id="rId17"/>
    <Relationship TargetMode="External" Target="https://www.legis.iowa.gov/docs/iac/rule/481.553.7.pdf" Type="http://schemas.openxmlformats.org/officeDocument/2006/relationships/hyperlink" Id="rId18"/>
    <Relationship TargetMode="External" Target="https://www.legis.iowa.gov/docs/iac/rule/481.553.2.pdf" Type="http://schemas.openxmlformats.org/officeDocument/2006/relationships/hyperlink" Id="rId19"/>
    <Relationship TargetMode="External" Target="https://www.legis.iowa.gov/docs/ico/chapter/124.308.pdf" Type="http://schemas.openxmlformats.org/officeDocument/2006/relationships/hyperlink" Id="rId20"/>
    <Relationship TargetMode="External" Target="https://www.legis.iowa.gov/docs/ico/chapter/155A.27.pdf" Type="http://schemas.openxmlformats.org/officeDocument/2006/relationships/hyperlink" Id="rId21"/>
    <Relationship TargetMode="External" Target="https://www.legis.iowa.gov/docs/iac/rule/481.553.10.pdf" Type="http://schemas.openxmlformats.org/officeDocument/2006/relationships/hyperlink" Id="rId22"/>
    <Relationship TargetMode="External" Target="https://www.legis.iowa.gov/docs/ico/chapter/124.212A.pdf" Type="http://schemas.openxmlformats.org/officeDocument/2006/relationships/hyperlink" Id="rId23"/>
    <Relationship TargetMode="External" Target="https://www.legis.iowa.gov/docs/iac/rule/481.553.11.pdf" Type="http://schemas.openxmlformats.org/officeDocument/2006/relationships/hyperlink" Id="rId24"/>
    <Relationship TargetMode="External" Target="https://www.legis.iowa.gov/docs/ico/chapter/124.212A.pdf" Type="http://schemas.openxmlformats.org/officeDocument/2006/relationships/hyperlink" Id="rId25"/>
    <Relationship TargetMode="External" Target="https://www.legis.iowa.gov/docs/ico/chapter/124.201A.pdf" Type="http://schemas.openxmlformats.org/officeDocument/2006/relationships/hyperlink" Id="rId26"/>
    <Relationship TargetMode="External" Target="https://www.legis.iowa.gov/docs/ico/chapter/124.204.pdf" Type="http://schemas.openxmlformats.org/officeDocument/2006/relationships/hyperlink" Id="rId27"/>
    <Relationship TargetMode="External" Target="https://www.legis.iowa.gov/docs/ico/chapter/124.204.pdf" Type="http://schemas.openxmlformats.org/officeDocument/2006/relationships/hyperlink" Id="rId28"/>
    <Relationship TargetMode="External" Target="https://www.legis.iowa.gov/docs/ico/chapter/124.204.pdf" Type="http://schemas.openxmlformats.org/officeDocument/2006/relationships/hyperlink" Id="rId29"/>
    <Relationship TargetMode="External" Target="https://www.legis.iowa.gov/docs/ico/chapter/124.210.pdf" Type="http://schemas.openxmlformats.org/officeDocument/2006/relationships/hyperlink" Id="rId30"/>
    <Relationship TargetMode="External" Target="https://www.legis.iowa.gov/docs/ico/chapter/124B.pdf" Type="http://schemas.openxmlformats.org/officeDocument/2006/relationships/hyperlink" Id="rId31"/>
    <Relationship TargetMode="External" Target="https://www.legis.iowa.gov/docs/ico/chapter/124B.7.pdf" Type="http://schemas.openxmlformats.org/officeDocument/2006/relationships/hyperlink" Id="rId32"/>
    <Relationship TargetMode="External" Target="https://www.legis.iowa.gov/docs/ico/chapter/124B.7.pdf" Type="http://schemas.openxmlformats.org/officeDocument/2006/relationships/hyperlink" Id="rId33"/>
    <Relationship TargetMode="External" Target="https://www.legis.iowa.gov/docs/ico/chapter/124B.7.pdf" Type="http://schemas.openxmlformats.org/officeDocument/2006/relationships/hyperlink" Id="rId34"/>
    <Relationship TargetMode="External" Target="https://www.legis.iowa.gov/docs/ico/chapter/124B.3.pdf" Type="http://schemas.openxmlformats.org/officeDocument/2006/relationships/hyperlink" Id="rId35"/>
    <Relationship TargetMode="External" Target="https://www.legis.iowa.gov/docs/ico/chapter/124.301.pdf" Type="http://schemas.openxmlformats.org/officeDocument/2006/relationships/hyperlink" Id="rId36"/>
    <Relationship TargetMode="External" Target="https://www.legis.iowa.gov/docs/ico/chapter/124B.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