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552</w:t>
      </w:r>
    </w:p>
    <w:p>
      <w:pPr>
        <w:spacing w:before="0" w:after="0"/>
        <w:ind w:left="120"/>
        <w:jc w:val="center"/>
      </w:pPr>
      <w:r>
        <w:rPr>
          <w:rFonts w:ascii="Times New Roman" w:hAnsi="Times New Roman"/>
          <w:b w:val="false"/>
          <w:i w:val="false"/>
          <w:color w:val="000000"/>
          <w:sz w:val="21"/>
        </w:rPr>
        <w:t>STANDARDS—PRACTICE OF PHARMACY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8/11/30</w:t>
      </w:r>
    </w:p>
    <w:p>
      <w:pPr>
        <w:spacing w:before="0" w:after="0"/>
        <w:ind w:left="120"/>
        <w:jc w:val="both"/>
      </w:pPr>
      <w:r>
        <w:rPr>
          <w:rFonts w:ascii="Times New Roman" w:hAnsi="Times New Roman"/>
          <w:b/>
          <w:i w:val="false"/>
          <w:color w:val="000000"/>
          <w:sz w:val="22"/>
        </w:rPr>
        <w:t>481—552.1</w:t>
      </w:r>
      <w:r>
        <w:rPr>
          <w:rFonts w:ascii="Times New Roman" w:hAnsi="Times New Roman"/>
          <w:b/>
          <w:i w:val="false"/>
          <w:color w:val="000000"/>
          <w:sz w:val="22"/>
        </w:rPr>
        <w:t xml:space="preserve">(124,155A)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Pharmacy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r>
        <w:rPr>
          <w:rFonts w:ascii="Times New Roman" w:hAnsi="Times New Roman"/>
          <w:b w:val="false"/>
          <w:i w:val="false"/>
          <w:color w:val="000000"/>
          <w:sz w:val="22"/>
        </w:rPr>
        <w:t>Each pharmacy will maintain: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Adequate drug storage areas to ensure that drug products are maintained under sanitary conditions and in accordance with package labeling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References and drug information as needed to meet the needs of the patients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for all aspects of the pharmacy’s operation that ensure that all drugs and patient records are secure from unauthorized access, maintain accountability and protect patient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Equipment as needed to meet the needs of the patients served that is maintained in accordance with manufacturer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Drug storage and handling areas in compliance with USP General Chapter 800 (2019) for hazardous drug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open to the public and a pharmacist is working on site, the current pharmacist license certificate posted within view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w:t>
      </w:r>
      <w:r>
        <w:rPr>
          <w:rFonts w:ascii="Times New Roman" w:hAnsi="Times New Roman"/>
          <w:b w:val="false"/>
          <w:i w:val="false"/>
          <w:color w:val="000000"/>
          <w:sz w:val="22"/>
        </w:rPr>
        <w:t> </w:t>
      </w:r>
      <w:r>
        <w:rPr>
          <w:rFonts w:ascii="Times New Roman" w:hAnsi="Times New Roman"/>
          <w:b w:val="false"/>
          <w:i/>
          <w:color w:val="000000"/>
          <w:sz w:val="22"/>
        </w:rPr>
        <w:t xml:space="preserve">Notice of remodel. </w:t>
      </w:r>
      <w:r>
        <w:rPr>
          <w:rFonts w:ascii="Times New Roman" w:hAnsi="Times New Roman"/>
          <w:b w:val="false"/>
          <w:i w:val="false"/>
          <w:color w:val="000000"/>
          <w:sz w:val="22"/>
        </w:rPr>
        <w:t>A pharmacy will provide written notice to the board at least 30 days prior to any remodel involving a change to or addition of a primary engineering device or cleanroom suite.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481—552.3</w:t>
      </w:r>
      <w:r>
        <w:rPr>
          <w:rFonts w:ascii="Times New Roman" w:hAnsi="Times New Roman"/>
          <w:b/>
          <w:i w:val="false"/>
          <w:color w:val="000000"/>
          <w:sz w:val="22"/>
        </w:rPr>
        <w:t xml:space="preserve">(155A) </w:t>
      </w:r>
      <w:r>
        <w:rPr>
          <w:rFonts w:ascii="Times New Roman" w:hAnsi="Times New Roman"/>
          <w:b/>
          <w:i w:val="false"/>
          <w:color w:val="000000"/>
          <w:sz w:val="22"/>
        </w:rPr>
        <w:t xml:space="preserve">Security.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552.3(1)</w:t>
      </w:r>
      <w:r>
        <w:rPr>
          <w:rFonts w:ascii="Times New Roman" w:hAnsi="Times New Roman"/>
          <w:b w:val="false"/>
          <w:i w:val="false"/>
          <w:color w:val="000000"/>
          <w:sz w:val="22"/>
        </w:rPr>
        <w:t> </w:t>
      </w:r>
      <w:r>
        <w:rPr>
          <w:rFonts w:ascii="Times New Roman" w:hAnsi="Times New Roman"/>
          <w:b w:val="false"/>
          <w:i/>
          <w:color w:val="000000"/>
          <w:sz w:val="22"/>
        </w:rPr>
        <w:t xml:space="preserve">Physical security. </w:t>
      </w:r>
      <w:r>
        <w:rPr>
          <w:rFonts w:ascii="Times New Roman" w:hAnsi="Times New Roman"/>
          <w:b w:val="false"/>
          <w:i w:val="false"/>
          <w:color w:val="000000"/>
          <w:sz w:val="22"/>
        </w:rPr>
        <w:t>Each pharmacy will maintain adequate security to ensure the confidentiality of patient information and to prevent theft of, diversion of, or unauthorized access to prescription drugs or records, including when prescription drugs or records are stored outside the pharmacy department pursuant to federal law or regulation or these rules. Pharmacy staff personal items allowed in the pharmacy will be stored away from drug storage areas and monitored. Security will include a basic alarm system and video surveillance system unless the pharmacy is located within a facility that provides equivalent monitoring.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552.3(2)</w:t>
      </w:r>
      <w:r>
        <w:rPr>
          <w:rFonts w:ascii="Times New Roman" w:hAnsi="Times New Roman"/>
          <w:b w:val="false"/>
          <w:i w:val="false"/>
          <w:color w:val="000000"/>
          <w:sz w:val="22"/>
        </w:rPr>
        <w:t> </w:t>
      </w:r>
      <w:r>
        <w:rPr>
          <w:rFonts w:ascii="Times New Roman" w:hAnsi="Times New Roman"/>
          <w:b w:val="false"/>
          <w:i/>
          <w:color w:val="000000"/>
          <w:sz w:val="22"/>
        </w:rPr>
        <w:t xml:space="preserve">Processing systems security. </w:t>
      </w:r>
      <w:r>
        <w:rPr>
          <w:rFonts w:ascii="Times New Roman" w:hAnsi="Times New Roman"/>
          <w:b w:val="false"/>
          <w:i w:val="false"/>
          <w:color w:val="000000"/>
          <w:sz w:val="22"/>
        </w:rPr>
        <w:t>Each pharmacy will maintain adequate security of any electronic device or system that is used to maintain or process patient, practitioner, drug, or prescription records to prevent and detect unauthorized access, modification, or manipulation of such records. Authentication credentials will be securely maintained by the individual to whom the credentials are issued and cannot be shared with or disclosed to any other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552.3(3)</w:t>
      </w:r>
      <w:r>
        <w:rPr>
          <w:rFonts w:ascii="Times New Roman" w:hAnsi="Times New Roman"/>
          <w:b w:val="false"/>
          <w:i w:val="false"/>
          <w:color w:val="000000"/>
          <w:sz w:val="22"/>
        </w:rPr>
        <w:t> </w:t>
      </w:r>
      <w:r>
        <w:rPr>
          <w:rFonts w:ascii="Times New Roman" w:hAnsi="Times New Roman"/>
          <w:b w:val="false"/>
          <w:i/>
          <w:color w:val="000000"/>
          <w:sz w:val="22"/>
        </w:rPr>
        <w:t xml:space="preserve">Access when pharmacy department is closed. </w:t>
      </w:r>
      <w:r>
        <w:rPr>
          <w:rFonts w:ascii="Times New Roman" w:hAnsi="Times New Roman"/>
          <w:b w:val="false"/>
          <w:i w:val="false"/>
          <w:color w:val="000000"/>
          <w:sz w:val="22"/>
        </w:rPr>
        <w:t>When the pharmacist is absent from the facility, the pharmacy department will be closed and secured to prevent unauthorized access. Policies and procedures will identify individuals, by title or designation, who are authorized to access the pharmacy department and the specific activities that are authorized.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481—552.4</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Pharmacy personnel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552.4(1)</w:t>
      </w:r>
      <w:r>
        <w:rPr>
          <w:rFonts w:ascii="Times New Roman" w:hAnsi="Times New Roman"/>
          <w:b w:val="false"/>
          <w:i w:val="false"/>
          <w:color w:val="000000"/>
          <w:sz w:val="22"/>
        </w:rPr>
        <w:t> </w:t>
      </w:r>
      <w:r>
        <w:rPr>
          <w:rFonts w:ascii="Times New Roman" w:hAnsi="Times New Roman"/>
          <w:b w:val="false"/>
          <w:i/>
          <w:color w:val="000000"/>
          <w:sz w:val="22"/>
        </w:rPr>
        <w:t xml:space="preserve">Pharmacy personnel. </w:t>
      </w:r>
      <w:r>
        <w:rPr>
          <w:rFonts w:ascii="Times New Roman" w:hAnsi="Times New Roman"/>
          <w:b w:val="false"/>
          <w:i w:val="false"/>
          <w:color w:val="000000"/>
          <w:sz w:val="22"/>
        </w:rPr>
        <w:t>Each pharmacy will employ personnel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 licensed or registered pursuant to </w:t>
      </w:r>
      <w:hyperlink r:id="rId6">
        <w:r>
          <w:rPr>
            <w:rStyle w:val="Hyperlink"/>
            <w:rFonts w:ascii="Times New Roman" w:hAnsi="Times New Roman"/>
            <w:b w:val="false"/>
            <w:i w:val="false"/>
            <w:color w:val="000000"/>
            <w:sz w:val="22"/>
          </w:rPr>
          <w:t>481—Chapter 551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documented training or education for the activities within their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552.4(2)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When the pharmacy is open to the public, pharmacy personnel will wear visible identification to provide the individual’s first name and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552.4(3)</w:t>
      </w:r>
      <w:r>
        <w:rPr>
          <w:rFonts w:ascii="Times New Roman" w:hAnsi="Times New Roman"/>
          <w:b w:val="false"/>
          <w:i w:val="false"/>
          <w:color w:val="000000"/>
          <w:sz w:val="22"/>
        </w:rPr>
        <w:t> </w:t>
      </w:r>
      <w:r>
        <w:rPr>
          <w:rFonts w:ascii="Times New Roman" w:hAnsi="Times New Roman"/>
          <w:b w:val="false"/>
          <w:i/>
          <w:color w:val="000000"/>
          <w:sz w:val="22"/>
        </w:rPr>
        <w:t xml:space="preserve">Telepharmacy certified pharmacy technicians. </w:t>
      </w:r>
      <w:r>
        <w:rPr>
          <w:rFonts w:ascii="Times New Roman" w:hAnsi="Times New Roman"/>
          <w:b w:val="false"/>
          <w:i w:val="false"/>
          <w:color w:val="000000"/>
          <w:sz w:val="22"/>
        </w:rPr>
        <w:t>Prior to working in a telepharmacy under remote pharmacist supervision, a certified pharmacy technician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Worked at least 1,000 hours in an Iowa-licensed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Completed at least 160 hours of training in a managing pharmacy, at another pharmacy using the same audiovisual technology system, or at the telepharmacy site under the direct supervision of an on-site pharmacist.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481—552.5</w:t>
      </w:r>
      <w:r>
        <w:rPr>
          <w:rFonts w:ascii="Times New Roman" w:hAnsi="Times New Roman"/>
          <w:b/>
          <w:i w:val="false"/>
          <w:color w:val="000000"/>
          <w:sz w:val="22"/>
        </w:rPr>
        <w:t xml:space="preserve">(155A) </w:t>
      </w:r>
      <w:r>
        <w:rPr>
          <w:rFonts w:ascii="Times New Roman" w:hAnsi="Times New Roman"/>
          <w:b/>
          <w:i w:val="false"/>
          <w:color w:val="000000"/>
          <w:sz w:val="22"/>
        </w:rPr>
        <w:t xml:space="preserve">Standard of care. </w:t>
      </w:r>
      <w:r>
        <w:rPr>
          <w:rFonts w:ascii="Times New Roman" w:hAnsi="Times New Roman"/>
          <w:b w:val="false"/>
          <w:i w:val="false"/>
          <w:color w:val="000000"/>
          <w:sz w:val="22"/>
        </w:rPr>
        <w:t>Each licensee and registrant will provide the accepted standard of care within the individual’s scope of practice that would be provided in a similar setting by a reasonable and prudent licensee or registrant with similar education, training and experience.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481—552.6</w:t>
      </w:r>
      <w:r>
        <w:rPr>
          <w:rFonts w:ascii="Times New Roman" w:hAnsi="Times New Roman"/>
          <w:b/>
          <w:i w:val="false"/>
          <w:color w:val="000000"/>
          <w:sz w:val="22"/>
        </w:rPr>
        <w:t xml:space="preserve">(155A) </w:t>
      </w:r>
      <w:r>
        <w:rPr>
          <w:rFonts w:ascii="Times New Roman" w:hAnsi="Times New Roman"/>
          <w:b/>
          <w:i w:val="false"/>
          <w:color w:val="000000"/>
          <w:sz w:val="22"/>
        </w:rPr>
        <w:t xml:space="preserve">Patient confidentiality. </w:t>
      </w:r>
      <w:r>
        <w:rPr>
          <w:rFonts w:ascii="Times New Roman" w:hAnsi="Times New Roman"/>
          <w:b w:val="false"/>
          <w:i w:val="false"/>
          <w:color w:val="000000"/>
          <w:sz w:val="22"/>
        </w:rPr>
        <w:t>In the absence of express consent from the patient or an order or direction of a court, except where the best interests of the patient require, pharmacy personnel will not divulge or reveal to any person other than the patient or the patient’s authorized representative, the prescriber or other licensed practitioner then caring for the patient, a licensed pharmacist, or a person duly authorized by law to receive such information any information contained in a patient’s record relating to any prescription for, medical information about, or pharmacy service provided to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481—552.7</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Pharmacist-interns. </w:t>
      </w:r>
      <w:r>
        <w:rPr>
          <w:rFonts w:ascii="Times New Roman" w:hAnsi="Times New Roman"/>
          <w:b w:val="false"/>
          <w:i w:val="false"/>
          <w:color w:val="000000"/>
          <w:sz w:val="22"/>
        </w:rPr>
        <w:t>An internship will include no fewer than 1,500 hours of pharmacy practice experience that, at a minimum, includes community, institutional and clinical pharmacy practice settings that are licensed in the state in which they are located. A student who has been awarded a pharmacy degree from an ACPE-accredited college of pharmacy located in the United States is deemed to have satisfied this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481—552.8</w:t>
      </w:r>
      <w:r>
        <w:rPr>
          <w:rFonts w:ascii="Times New Roman" w:hAnsi="Times New Roman"/>
          <w:b/>
          <w:i w:val="false"/>
          <w:color w:val="000000"/>
          <w:sz w:val="22"/>
        </w:rPr>
        <w:t xml:space="preserve">(155A) </w:t>
      </w:r>
      <w:r>
        <w:rPr>
          <w:rFonts w:ascii="Times New Roman" w:hAnsi="Times New Roman"/>
          <w:b/>
          <w:i w:val="false"/>
          <w:color w:val="000000"/>
          <w:sz w:val="22"/>
        </w:rPr>
        <w:t xml:space="preserve">Supervision of nonpharmacist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552.8(1)</w:t>
      </w:r>
      <w:r>
        <w:rPr>
          <w:rFonts w:ascii="Times New Roman" w:hAnsi="Times New Roman"/>
          <w:b w:val="false"/>
          <w:i w:val="false"/>
          <w:color w:val="000000"/>
          <w:sz w:val="22"/>
        </w:rPr>
        <w:t> </w:t>
      </w:r>
      <w:r>
        <w:rPr>
          <w:rFonts w:ascii="Times New Roman" w:hAnsi="Times New Roman"/>
          <w:b w:val="false"/>
          <w:i/>
          <w:color w:val="000000"/>
          <w:sz w:val="22"/>
        </w:rPr>
        <w:t xml:space="preserve">Temporary absence of pharmacist.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Pharmacist is not on site. </w:t>
      </w:r>
      <w:r>
        <w:rPr>
          <w:rFonts w:ascii="Times New Roman" w:hAnsi="Times New Roman"/>
          <w:b w:val="false"/>
          <w:i w:val="false"/>
          <w:color w:val="000000"/>
          <w:sz w:val="22"/>
        </w:rPr>
        <w:t xml:space="preserve">Pharmacy policies and procedures may designate pharmacy personnel who may be present in the pharmacy department to perform delegated functions in accordance with subrule </w:t>
      </w:r>
      <w:hyperlink r:id="rId7">
        <w:r>
          <w:rPr>
            <w:rStyle w:val="Hyperlink"/>
            <w:rFonts w:ascii="Times New Roman" w:hAnsi="Times New Roman"/>
            <w:b w:val="false"/>
            <w:i w:val="false"/>
            <w:color w:val="000000"/>
            <w:sz w:val="22"/>
          </w:rPr>
          <w:t>552.3(3)</w:t>
        </w:r>
      </w:hyperlink>
      <w:r>
        <w:rPr>
          <w:rFonts w:ascii="Times New Roman" w:hAnsi="Times New Roman"/>
          <w:b w:val="false"/>
          <w:i w:val="false"/>
          <w:color w:val="000000"/>
          <w:sz w:val="22"/>
        </w:rPr>
        <w:t>, with the exception of dispensing filled prescriptions, when the pharmacy is closed and, excluding institutional practice settings, when a pharmacist is not on site for a period of time not to exceed two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Pharmacist is on site and absent from the pharmacy department. </w:t>
      </w:r>
      <w:r>
        <w:rPr>
          <w:rFonts w:ascii="Times New Roman" w:hAnsi="Times New Roman"/>
          <w:b w:val="false"/>
          <w:i w:val="false"/>
          <w:color w:val="000000"/>
          <w:sz w:val="22"/>
        </w:rPr>
        <w:t>Pharmacy policies and procedures may designate pharmacy personnel who may be present in the pharmacy department to perform delegated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552.8(2)</w:t>
      </w:r>
      <w:r>
        <w:rPr>
          <w:rFonts w:ascii="Times New Roman" w:hAnsi="Times New Roman"/>
          <w:b w:val="false"/>
          <w:i w:val="false"/>
          <w:color w:val="000000"/>
          <w:sz w:val="22"/>
        </w:rPr>
        <w:t> </w:t>
      </w:r>
      <w:r>
        <w:rPr>
          <w:rFonts w:ascii="Times New Roman" w:hAnsi="Times New Roman"/>
          <w:b w:val="false"/>
          <w:i/>
          <w:color w:val="000000"/>
          <w:sz w:val="22"/>
        </w:rPr>
        <w:t xml:space="preserve">Remote supervision. </w:t>
      </w:r>
      <w:r>
        <w:rPr>
          <w:rFonts w:ascii="Times New Roman" w:hAnsi="Times New Roman"/>
          <w:b w:val="false"/>
          <w:i w:val="false"/>
          <w:color w:val="000000"/>
          <w:sz w:val="22"/>
        </w:rPr>
        <w:t>Pharmacist supervision of certified pharmacy technicians performing delegated functions at a location other than the licensed location will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information is secure and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pharmacist has real-time access to the system used or record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technician has real-time access to the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552.8(3)</w:t>
      </w:r>
      <w:r>
        <w:rPr>
          <w:rFonts w:ascii="Times New Roman" w:hAnsi="Times New Roman"/>
          <w:b w:val="false"/>
          <w:i w:val="false"/>
          <w:color w:val="000000"/>
          <w:sz w:val="22"/>
        </w:rPr>
        <w:t> </w:t>
      </w:r>
      <w:r>
        <w:rPr>
          <w:rFonts w:ascii="Times New Roman" w:hAnsi="Times New Roman"/>
          <w:b w:val="false"/>
          <w:i/>
          <w:color w:val="000000"/>
          <w:sz w:val="22"/>
        </w:rPr>
        <w:t xml:space="preserve">Telepharmacy. </w:t>
      </w:r>
      <w:r>
        <w:rPr>
          <w:rFonts w:ascii="Times New Roman" w:hAnsi="Times New Roman"/>
          <w:b w:val="false"/>
          <w:i w:val="false"/>
          <w:color w:val="000000"/>
          <w:sz w:val="22"/>
        </w:rPr>
        <w:t xml:space="preserve">Notwithstanding subrules </w:t>
      </w:r>
      <w:hyperlink r:id="rId8">
        <w:r>
          <w:rPr>
            <w:rStyle w:val="Hyperlink"/>
            <w:rFonts w:ascii="Times New Roman" w:hAnsi="Times New Roman"/>
            <w:b w:val="false"/>
            <w:i w:val="false"/>
            <w:color w:val="000000"/>
            <w:sz w:val="22"/>
          </w:rPr>
          <w:t>552.8(1)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552.8(2)</w:t>
        </w:r>
      </w:hyperlink>
      <w:r>
        <w:rPr>
          <w:rFonts w:ascii="Times New Roman" w:hAnsi="Times New Roman"/>
          <w:b w:val="false"/>
          <w:i w:val="false"/>
          <w:color w:val="000000"/>
          <w:sz w:val="22"/>
        </w:rPr>
        <w:t>, a pharmacist may provide remote supervision of pharmacy personnel in a licensed telepharmacy.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481—552.9</w:t>
      </w:r>
      <w:r>
        <w:rPr>
          <w:rFonts w:ascii="Times New Roman" w:hAnsi="Times New Roman"/>
          <w:b/>
          <w:i w:val="false"/>
          <w:color w:val="000000"/>
          <w:sz w:val="22"/>
        </w:rPr>
        <w:t xml:space="preserve">(155A) </w:t>
      </w:r>
      <w:r>
        <w:rPr>
          <w:rFonts w:ascii="Times New Roman" w:hAnsi="Times New Roman"/>
          <w:b/>
          <w:i w:val="false"/>
          <w:color w:val="000000"/>
          <w:sz w:val="22"/>
        </w:rPr>
        <w:t xml:space="preserve">Delegation of functions.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552.9(1)</w:t>
      </w:r>
      <w:r>
        <w:rPr>
          <w:rFonts w:ascii="Times New Roman" w:hAnsi="Times New Roman"/>
          <w:b w:val="false"/>
          <w:i w:val="false"/>
          <w:color w:val="000000"/>
          <w:sz w:val="22"/>
        </w:rPr>
        <w:t> </w:t>
      </w:r>
      <w:r>
        <w:rPr>
          <w:rFonts w:ascii="Times New Roman" w:hAnsi="Times New Roman"/>
          <w:b w:val="false"/>
          <w:i/>
          <w:color w:val="000000"/>
          <w:sz w:val="22"/>
        </w:rPr>
        <w:t xml:space="preserve">Technicians and pharmacy support persons. </w:t>
      </w:r>
      <w:r>
        <w:rPr>
          <w:rFonts w:ascii="Times New Roman" w:hAnsi="Times New Roman"/>
          <w:b w:val="false"/>
          <w:i w:val="false"/>
          <w:color w:val="000000"/>
          <w:sz w:val="22"/>
        </w:rPr>
        <w:t>A supervising pharmacist may delegate any nonclinical function to a pharmacy technician or pharmacy support person in accordance with the individual’s registration, training,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552.9(2)</w:t>
      </w:r>
      <w:r>
        <w:rPr>
          <w:rFonts w:ascii="Times New Roman" w:hAnsi="Times New Roman"/>
          <w:b w:val="false"/>
          <w:i w:val="false"/>
          <w:color w:val="000000"/>
          <w:sz w:val="22"/>
        </w:rPr>
        <w:t> </w:t>
      </w:r>
      <w:r>
        <w:rPr>
          <w:rFonts w:ascii="Times New Roman" w:hAnsi="Times New Roman"/>
          <w:b w:val="false"/>
          <w:i/>
          <w:color w:val="000000"/>
          <w:sz w:val="22"/>
        </w:rPr>
        <w:t xml:space="preserve">Pharmacist-interns. </w:t>
      </w:r>
      <w:r>
        <w:rPr>
          <w:rFonts w:ascii="Times New Roman" w:hAnsi="Times New Roman"/>
          <w:b w:val="false"/>
          <w:i w:val="false"/>
          <w:color w:val="000000"/>
          <w:sz w:val="22"/>
        </w:rPr>
        <w:t>A preceptor or supervising pharmacist is responsible for the professional oversight of a pharmacist-intern and may delegate any task in accordance with the education and training of the pharmacist-intern.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481—552.10</w:t>
      </w:r>
      <w:r>
        <w:rPr>
          <w:rFonts w:ascii="Times New Roman" w:hAnsi="Times New Roman"/>
          <w:b/>
          <w:i w:val="false"/>
          <w:color w:val="000000"/>
          <w:sz w:val="22"/>
        </w:rPr>
        <w:t xml:space="preserve">(155A) </w:t>
      </w:r>
      <w:r>
        <w:rPr>
          <w:rFonts w:ascii="Times New Roman" w:hAnsi="Times New Roman"/>
          <w:b/>
          <w:i w:val="false"/>
          <w:color w:val="000000"/>
          <w:sz w:val="22"/>
        </w:rPr>
        <w:t xml:space="preserve">Technician product verification. </w:t>
      </w:r>
      <w:r>
        <w:rPr>
          <w:rFonts w:ascii="Times New Roman" w:hAnsi="Times New Roman"/>
          <w:b w:val="false"/>
          <w:i w:val="false"/>
          <w:color w:val="000000"/>
          <w:sz w:val="22"/>
        </w:rPr>
        <w:t>A pharmacy may establish a technician product verification program in accordance with this rule for the purpose of redirecting pharmacist time to clinical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552.10(1)</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A pharmacy will establish policies and procedures prior to initiation of a program that will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Utilization of barcode scanning and prohibition of technician overrides,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of checking technicians and pharmacists,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Authorization of checking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Exclusion of certain medications from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each technician involved in filling or verifying prescriptions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552.10(2)</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w:t>
      </w:r>
      <w:r>
        <w:rPr>
          <w:rFonts w:ascii="Times New Roman" w:hAnsi="Times New Roman"/>
          <w:b w:val="false"/>
          <w:i w:val="false"/>
          <w:color w:val="000000"/>
          <w:sz w:val="22"/>
        </w:rPr>
        <w:t>A pharmacy utilizing a technician product verification program will establish and utilize a quality assurance program to ensure ongoing compliance with its policies and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481—552.11</w:t>
      </w:r>
      <w:r>
        <w:rPr>
          <w:rFonts w:ascii="Times New Roman" w:hAnsi="Times New Roman"/>
          <w:b/>
          <w:i w:val="false"/>
          <w:color w:val="000000"/>
          <w:sz w:val="22"/>
        </w:rPr>
        <w:t xml:space="preserve">(155A) </w:t>
      </w:r>
      <w:r>
        <w:rPr>
          <w:rFonts w:ascii="Times New Roman" w:hAnsi="Times New Roman"/>
          <w:b/>
          <w:i w:val="false"/>
          <w:color w:val="000000"/>
          <w:sz w:val="22"/>
        </w:rPr>
        <w:t xml:space="preserve">Unprofessional conduct. </w:t>
      </w:r>
      <w:r>
        <w:rPr>
          <w:rFonts w:ascii="Times New Roman" w:hAnsi="Times New Roman"/>
          <w:b w:val="false"/>
          <w:i w:val="false"/>
          <w:color w:val="000000"/>
          <w:sz w:val="22"/>
        </w:rPr>
        <w:t>Acts or practices that constitute unprofessional conduct contrary to public interest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552.11(1)</w:t>
      </w:r>
      <w:r>
        <w:rPr>
          <w:rFonts w:ascii="Times New Roman" w:hAnsi="Times New Roman"/>
          <w:b w:val="false"/>
          <w:i w:val="false"/>
          <w:color w:val="000000"/>
          <w:sz w:val="22"/>
        </w:rPr>
        <w:t> </w:t>
      </w:r>
      <w:r>
        <w:rPr>
          <w:rFonts w:ascii="Times New Roman" w:hAnsi="Times New Roman"/>
          <w:b w:val="false"/>
          <w:i w:val="false"/>
          <w:color w:val="000000"/>
          <w:sz w:val="22"/>
        </w:rPr>
        <w:t>Unethical conduct that includes but is not limited to fraud, misrepresentation, negligence, concealment, negating the patient’s freedom of choice for pharmacy services, or breaching the public trust with respect to the practice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552.11(2)</w:t>
      </w:r>
      <w:r>
        <w:rPr>
          <w:rFonts w:ascii="Times New Roman" w:hAnsi="Times New Roman"/>
          <w:b w:val="false"/>
          <w:i w:val="false"/>
          <w:color w:val="000000"/>
          <w:sz w:val="22"/>
        </w:rPr>
        <w:t> </w:t>
      </w:r>
      <w:r>
        <w:rPr>
          <w:rFonts w:ascii="Times New Roman" w:hAnsi="Times New Roman"/>
          <w:b w:val="false"/>
          <w:i w:val="false"/>
          <w:color w:val="000000"/>
          <w:sz w:val="22"/>
        </w:rPr>
        <w:t>Discrimination against a patient or group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552.11(3)</w:t>
      </w:r>
      <w:r>
        <w:rPr>
          <w:rFonts w:ascii="Times New Roman" w:hAnsi="Times New Roman"/>
          <w:b w:val="false"/>
          <w:i w:val="false"/>
          <w:color w:val="000000"/>
          <w:sz w:val="22"/>
        </w:rPr>
        <w:t> </w:t>
      </w:r>
      <w:r>
        <w:rPr>
          <w:rFonts w:ascii="Times New Roman" w:hAnsi="Times New Roman"/>
          <w:b w:val="false"/>
          <w:i w:val="false"/>
          <w:color w:val="000000"/>
          <w:sz w:val="22"/>
        </w:rPr>
        <w:t>Unprofessional behavior that includes but is not limited to verbal abuse, coercion, intimidation, harassment, sexual advances, threats, degradation of character, indecent or obscene conduct, theft, or refusal to provide reasonable information or answer reasonable questions for the benefit of a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481—552.12</w:t>
      </w:r>
      <w:r>
        <w:rPr>
          <w:rFonts w:ascii="Times New Roman" w:hAnsi="Times New Roman"/>
          <w:b/>
          <w:i w:val="false"/>
          <w:color w:val="000000"/>
          <w:sz w:val="22"/>
        </w:rPr>
        <w:t xml:space="preserve">(155A) </w:t>
      </w:r>
      <w:r>
        <w:rPr>
          <w:rFonts w:ascii="Times New Roman" w:hAnsi="Times New Roman"/>
          <w:b/>
          <w:i w:val="false"/>
          <w:color w:val="000000"/>
          <w:sz w:val="22"/>
        </w:rPr>
        <w:t xml:space="preserve">Manner of issuance of prescriptions.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552.12(1)</w:t>
      </w:r>
      <w:r>
        <w:rPr>
          <w:rFonts w:ascii="Times New Roman" w:hAnsi="Times New Roman"/>
          <w:b w:val="false"/>
          <w:i w:val="false"/>
          <w:color w:val="000000"/>
          <w:sz w:val="22"/>
        </w:rPr>
        <w:t> </w:t>
      </w:r>
      <w:r>
        <w:rPr>
          <w:rFonts w:ascii="Times New Roman" w:hAnsi="Times New Roman"/>
          <w:b w:val="false"/>
          <w:i/>
          <w:color w:val="000000"/>
          <w:sz w:val="22"/>
        </w:rPr>
        <w:t xml:space="preserve">Legitimate purpose. </w:t>
      </w:r>
      <w:r>
        <w:rPr>
          <w:rFonts w:ascii="Times New Roman" w:hAnsi="Times New Roman"/>
          <w:b w:val="false"/>
          <w:i w:val="false"/>
          <w:color w:val="000000"/>
          <w:sz w:val="22"/>
        </w:rPr>
        <w:t xml:space="preserve">Prescriptions will be valid when issued for a legitimate medical purpose by a prescriber acting in the usual course of the prescriber’s professional practice to a patient within an established prescriber/patient relationship, except when issued in accordance with Iowa Code section </w:t>
      </w:r>
      <w:hyperlink r:id="rId10">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139A.41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147A.18</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552.12(2)</w:t>
      </w:r>
      <w:r>
        <w:rPr>
          <w:rFonts w:ascii="Times New Roman" w:hAnsi="Times New Roman"/>
          <w:b w:val="false"/>
          <w:i w:val="false"/>
          <w:color w:val="000000"/>
          <w:sz w:val="22"/>
        </w:rPr>
        <w:t> </w:t>
      </w:r>
      <w:r>
        <w:rPr>
          <w:rFonts w:ascii="Times New Roman" w:hAnsi="Times New Roman"/>
          <w:b w:val="false"/>
          <w:i/>
          <w:color w:val="000000"/>
          <w:sz w:val="22"/>
        </w:rPr>
        <w:t xml:space="preserve">Security paper. </w:t>
      </w:r>
      <w:r>
        <w:rPr>
          <w:rFonts w:ascii="Times New Roman" w:hAnsi="Times New Roman"/>
          <w:b w:val="false"/>
          <w:i w:val="false"/>
          <w:color w:val="000000"/>
          <w:sz w:val="22"/>
        </w:rPr>
        <w:t>A prescription for a noncontrolled substance that is authenticated with an electronic signature and printed will be printed on security paper that ensures the prescription information is not obscured or rendered illegible during fax transmission or scanning into an electronic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552.12(3)</w:t>
      </w:r>
      <w:r>
        <w:rPr>
          <w:rFonts w:ascii="Times New Roman" w:hAnsi="Times New Roman"/>
          <w:b w:val="false"/>
          <w:i w:val="false"/>
          <w:color w:val="000000"/>
          <w:sz w:val="22"/>
        </w:rPr>
        <w:t> </w:t>
      </w:r>
      <w:r>
        <w:rPr>
          <w:rFonts w:ascii="Times New Roman" w:hAnsi="Times New Roman"/>
          <w:b w:val="false"/>
          <w:i/>
          <w:color w:val="000000"/>
          <w:sz w:val="22"/>
        </w:rPr>
        <w:t xml:space="preserve">Inaccessibility of prescriber.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Once the prescriber/patient relationship is broken and the prescriber is no longer available to treat the patient or oversee the patient’s use of the medication, a prescription loses its validity. Upon becoming aware of the situation, the pharmacist will cancel the prescription and any remaining refills but may exercise prudent judgment in individual circumstances to ensure sufficient patient access to continued treatment until the patient can reasonably obtain the service of another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that a pharmacist is unable to obtain a response from a prescriber after reasonable attempts, the pharmacist may refill a patient’s prescription, excluding controlled substances, when, in the pharmacist’s judgment, the patient may experience undue harm due to the lapse in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552.12(4)</w:t>
      </w:r>
      <w:r>
        <w:rPr>
          <w:rFonts w:ascii="Times New Roman" w:hAnsi="Times New Roman"/>
          <w:b w:val="false"/>
          <w:i w:val="false"/>
          <w:color w:val="000000"/>
          <w:sz w:val="22"/>
        </w:rPr>
        <w:t> </w:t>
      </w:r>
      <w:r>
        <w:rPr>
          <w:rFonts w:ascii="Times New Roman" w:hAnsi="Times New Roman"/>
          <w:b w:val="false"/>
          <w:i/>
          <w:color w:val="000000"/>
          <w:sz w:val="22"/>
        </w:rPr>
        <w:t xml:space="preserve">Therapeutic substitution.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patient record will include the originally prescribed medication as well as the therapeutic substitution made by the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noninstitutionalized patients, the pharmacist will obtain patient consent prior to substitution and notify the prescriber of the therapeutic substitution within three business days following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institutionalized patients, the pharmacist will follow institutional policies and procedures for therapeutic substitution and documentation.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481—552.13</w:t>
      </w:r>
      <w:r>
        <w:rPr>
          <w:rFonts w:ascii="Times New Roman" w:hAnsi="Times New Roman"/>
          <w:b/>
          <w:i w:val="false"/>
          <w:color w:val="000000"/>
          <w:sz w:val="22"/>
        </w:rPr>
        <w:t xml:space="preserve">(124,155A) </w:t>
      </w:r>
      <w:r>
        <w:rPr>
          <w:rFonts w:ascii="Times New Roman" w:hAnsi="Times New Roman"/>
          <w:b/>
          <w:i w:val="false"/>
          <w:color w:val="000000"/>
          <w:sz w:val="22"/>
        </w:rPr>
        <w:t xml:space="preserve">Electronic transmission mandate—exemptions and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552.13(1)</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In addition to the exemptions identified in Iowa Code sections </w:t>
      </w:r>
      <w:hyperlink r:id="rId15">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the following prescriptions will be exempt from the electronic transmission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prescription issued pursuant to Iowa Code section </w:t>
      </w:r>
      <w:hyperlink r:id="rId17">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prescription issued in an emergency to meet the immediate care need of a patient when a prescriber is unable to access electronic prescribing capabilities. Such prescription will be limited to a quantity sufficient to meet the acute need of the patient with no authorized refills.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552.13(2)</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 xml:space="preserve">An exemption from the electronic transmission mandate provided in Iowa Code sections </w:t>
      </w:r>
      <w:hyperlink r:id="rId18">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may be requested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552.13(3)</w:t>
      </w:r>
      <w:r>
        <w:rPr>
          <w:rFonts w:ascii="Times New Roman" w:hAnsi="Times New Roman"/>
          <w:b w:val="false"/>
          <w:i w:val="false"/>
          <w:color w:val="000000"/>
          <w:sz w:val="22"/>
        </w:rPr>
        <w:t> </w:t>
      </w:r>
      <w:r>
        <w:rPr>
          <w:rFonts w:ascii="Times New Roman" w:hAnsi="Times New Roman"/>
          <w:b w:val="false"/>
          <w:i/>
          <w:color w:val="000000"/>
          <w:sz w:val="22"/>
        </w:rPr>
        <w:t xml:space="preserve">Criteria for board consideration. </w:t>
      </w:r>
      <w:r>
        <w:rPr>
          <w:rFonts w:ascii="Times New Roman" w:hAnsi="Times New Roman"/>
          <w:b w:val="false"/>
          <w:i w:val="false"/>
          <w:color w:val="000000"/>
          <w:sz w:val="22"/>
        </w:rPr>
        <w:t>Except for petitions citing the exceptional circumstances listed herein, which will be administratively reviewed for approval, each petition will be reviewed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free or low-income clinic where health care is provided at no cost or at a reduced cost to the patient without reimbursement from a third-party payer that requests an exemption for noncontrolled substances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prescriber who issues no more than 50 noncontrolled substance prescriptions per year who requests an exemption for noncontrolled substances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of veterans affairs for prescriptions that are not filled at a veterans affairs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prescriber at a student health center based at a college or university, for noncontrolled substances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dentist seeking an exemption for prescriptions limited to toothpastes and mouthwashes.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compounding pharmacy that dispenses no more than 50 prescriptions for commercially available prescription medications per year that requests an exemption for noncontrolled substances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481—552.14</w:t>
      </w:r>
      <w:r>
        <w:rPr>
          <w:rFonts w:ascii="Times New Roman" w:hAnsi="Times New Roman"/>
          <w:b/>
          <w:i w:val="false"/>
          <w:color w:val="000000"/>
          <w:sz w:val="22"/>
        </w:rPr>
        <w:t xml:space="preserve">(155A) </w:t>
      </w:r>
      <w:r>
        <w:rPr>
          <w:rFonts w:ascii="Times New Roman" w:hAnsi="Times New Roman"/>
          <w:b/>
          <w:i w:val="false"/>
          <w:color w:val="000000"/>
          <w:sz w:val="22"/>
        </w:rPr>
        <w:t xml:space="preserve">Manner of issuance of medication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552.14(1)</w:t>
      </w:r>
      <w:r>
        <w:rPr>
          <w:rFonts w:ascii="Times New Roman" w:hAnsi="Times New Roman"/>
          <w:b w:val="false"/>
          <w:i w:val="false"/>
          <w:color w:val="000000"/>
          <w:sz w:val="22"/>
        </w:rPr>
        <w:t> </w:t>
      </w:r>
      <w:r>
        <w:rPr>
          <w:rFonts w:ascii="Times New Roman" w:hAnsi="Times New Roman"/>
          <w:b w:val="false"/>
          <w:i/>
          <w:color w:val="000000"/>
          <w:sz w:val="22"/>
        </w:rPr>
        <w:t xml:space="preserve">Required elements. </w:t>
      </w:r>
      <w:r>
        <w:rPr>
          <w:rFonts w:ascii="Times New Roman" w:hAnsi="Times New Roman"/>
          <w:b w:val="false"/>
          <w:i w:val="false"/>
          <w:color w:val="000000"/>
          <w:sz w:val="22"/>
        </w:rPr>
        <w:t>Each medication order for a hospital patient or for a noncontrolled substance for a care facility or correctional facility patient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Drug name, strength, and 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Instructions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Prescriber name and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552.14(2)</w:t>
      </w:r>
      <w:r>
        <w:rPr>
          <w:rFonts w:ascii="Times New Roman" w:hAnsi="Times New Roman"/>
          <w:b w:val="false"/>
          <w:i w:val="false"/>
          <w:color w:val="000000"/>
          <w:sz w:val="22"/>
        </w:rPr>
        <w:t> </w:t>
      </w:r>
      <w:r>
        <w:rPr>
          <w:rFonts w:ascii="Times New Roman" w:hAnsi="Times New Roman"/>
          <w:b w:val="false"/>
          <w:i/>
          <w:color w:val="000000"/>
          <w:sz w:val="22"/>
        </w:rPr>
        <w:t xml:space="preserve">Pharmacist verification. </w:t>
      </w:r>
      <w:r>
        <w:rPr>
          <w:rFonts w:ascii="Times New Roman" w:hAnsi="Times New Roman"/>
          <w:b w:val="false"/>
          <w:i w:val="false"/>
          <w:color w:val="000000"/>
          <w:sz w:val="22"/>
        </w:rPr>
        <w:t>Except as provided in facility policies, a pharmacist will review the entry of a new medication order completed by a nonpharmacist prior to the administration of the medication.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481—552.15</w:t>
      </w:r>
      <w:r>
        <w:rPr>
          <w:rFonts w:ascii="Times New Roman" w:hAnsi="Times New Roman"/>
          <w:b/>
          <w:i w:val="false"/>
          <w:color w:val="000000"/>
          <w:sz w:val="22"/>
        </w:rPr>
        <w:t xml:space="preserve">(155A) </w:t>
      </w:r>
      <w:r>
        <w:rPr>
          <w:rFonts w:ascii="Times New Roman" w:hAnsi="Times New Roman"/>
          <w:b/>
          <w:i w:val="false"/>
          <w:color w:val="000000"/>
          <w:sz w:val="22"/>
        </w:rPr>
        <w:t xml:space="preserve">Prospective drug use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552.15(1)</w:t>
      </w:r>
      <w:r>
        <w:rPr>
          <w:rFonts w:ascii="Times New Roman" w:hAnsi="Times New Roman"/>
          <w:b w:val="false"/>
          <w:i w:val="false"/>
          <w:color w:val="000000"/>
          <w:sz w:val="22"/>
        </w:rPr>
        <w:t> </w:t>
      </w:r>
      <w:r>
        <w:rPr>
          <w:rFonts w:ascii="Times New Roman" w:hAnsi="Times New Roman"/>
          <w:b w:val="false"/>
          <w:i/>
          <w:color w:val="000000"/>
          <w:sz w:val="22"/>
        </w:rPr>
        <w:t xml:space="preserve">Prior to dispensing. </w:t>
      </w:r>
      <w:r>
        <w:rPr>
          <w:rFonts w:ascii="Times New Roman" w:hAnsi="Times New Roman"/>
          <w:b w:val="false"/>
          <w:i w:val="false"/>
          <w:color w:val="000000"/>
          <w:sz w:val="22"/>
        </w:rPr>
        <w:t xml:space="preserve">Except for prescriptions issued in accordance with Iowa Code section </w:t>
      </w:r>
      <w:hyperlink r:id="rId20">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139A.41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147A.18</w:t>
        </w:r>
      </w:hyperlink>
      <w:r>
        <w:rPr>
          <w:rFonts w:ascii="Times New Roman" w:hAnsi="Times New Roman"/>
          <w:b w:val="false"/>
          <w:i w:val="false"/>
          <w:color w:val="000000"/>
          <w:sz w:val="22"/>
        </w:rPr>
        <w:t>, or</w:t>
      </w:r>
      <w:hyperlink r:id="rId24">
        <w:r>
          <w:rPr>
            <w:rStyle w:val="Hyperlink"/>
            <w:rFonts w:ascii="Times New Roman" w:hAnsi="Times New Roman"/>
            <w:b w:val="false"/>
            <w:i w:val="false"/>
            <w:color w:val="000000"/>
            <w:sz w:val="22"/>
          </w:rPr>
          <w:t> 280.16A</w:t>
        </w:r>
      </w:hyperlink>
      <w:r>
        <w:rPr>
          <w:rFonts w:ascii="Times New Roman" w:hAnsi="Times New Roman"/>
          <w:b w:val="false"/>
          <w:i w:val="false"/>
          <w:color w:val="000000"/>
          <w:sz w:val="22"/>
        </w:rPr>
        <w:t>, a pharmacist will perform a drug utilization review for each prescription dispensed.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552.15(2)</w:t>
      </w:r>
      <w:r>
        <w:rPr>
          <w:rFonts w:ascii="Times New Roman" w:hAnsi="Times New Roman"/>
          <w:b w:val="false"/>
          <w:i w:val="false"/>
          <w:color w:val="000000"/>
          <w:sz w:val="22"/>
        </w:rPr>
        <w:t> </w:t>
      </w:r>
      <w:r>
        <w:rPr>
          <w:rFonts w:ascii="Times New Roman" w:hAnsi="Times New Roman"/>
          <w:b w:val="false"/>
          <w:i/>
          <w:color w:val="000000"/>
          <w:sz w:val="22"/>
        </w:rPr>
        <w:t xml:space="preserve">Prior to second administration from stock or emergency supply. </w:t>
      </w:r>
      <w:r>
        <w:rPr>
          <w:rFonts w:ascii="Times New Roman" w:hAnsi="Times New Roman"/>
          <w:b w:val="false"/>
          <w:i w:val="false"/>
          <w:color w:val="000000"/>
          <w:sz w:val="22"/>
        </w:rPr>
        <w:t>A pharmacist will perform a drug utilization review prior to the administration of a second dose of a new medication order when administered from a stock or emergency supply for an institutional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481—552.16</w:t>
      </w:r>
      <w:r>
        <w:rPr>
          <w:rFonts w:ascii="Times New Roman" w:hAnsi="Times New Roman"/>
          <w:b/>
          <w:i w:val="false"/>
          <w:color w:val="000000"/>
          <w:sz w:val="22"/>
        </w:rPr>
        <w:t xml:space="preserve">(155A) </w:t>
      </w:r>
      <w:r>
        <w:rPr>
          <w:rFonts w:ascii="Times New Roman" w:hAnsi="Times New Roman"/>
          <w:b/>
          <w:i w:val="false"/>
          <w:color w:val="000000"/>
          <w:sz w:val="22"/>
        </w:rPr>
        <w:t xml:space="preserve">Transfer of prescriptions. </w:t>
      </w:r>
      <w:r>
        <w:rPr>
          <w:rFonts w:ascii="Times New Roman" w:hAnsi="Times New Roman"/>
          <w:b w:val="false"/>
          <w:i w:val="false"/>
          <w:color w:val="000000"/>
          <w:sz w:val="22"/>
        </w:rPr>
        <w:t>Transfers of prescriptions will be at the request of the patient or the patient’s caregiver. Individuals authorized to transfer prescriptions include a pharmacist and, except for transfers of controlled substance prescriptions, a certified pharmacy technician and a pharmacist-intern.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552.16(1)</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 xml:space="preserve">Transfers of controlled substance prescriptions are limited in accordance with </w:t>
      </w:r>
      <w:r>
        <w:rPr>
          <w:rFonts w:ascii="Times New Roman" w:hAnsi="Times New Roman"/>
          <w:b w:val="false"/>
          <w:i w:val="false"/>
          <w:color w:val="000000"/>
          <w:sz w:val="22"/>
        </w:rPr>
        <w:t>21 CFR Part 1306</w:t>
      </w:r>
      <w:r>
        <w:rPr>
          <w:rFonts w:ascii="Times New Roman" w:hAnsi="Times New Roman"/>
          <w:b w:val="false"/>
          <w:i w:val="false"/>
          <w:color w:val="000000"/>
          <w:sz w:val="22"/>
        </w:rPr>
        <w:t xml:space="preserve"> as amended on August 28,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552.16(2)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substances for initial filling. </w:t>
      </w:r>
      <w:r>
        <w:rPr>
          <w:rFonts w:ascii="Times New Roman" w:hAnsi="Times New Roman"/>
          <w:b w:val="false"/>
          <w:i w:val="false"/>
          <w:color w:val="000000"/>
          <w:sz w:val="22"/>
        </w:rPr>
        <w:t xml:space="preserve">Documentation of transfers of electronic controlled substance prescriptions for initial filling will be in accordance with </w:t>
      </w:r>
      <w:r>
        <w:rPr>
          <w:rFonts w:ascii="Times New Roman" w:hAnsi="Times New Roman"/>
          <w:b w:val="false"/>
          <w:i w:val="false"/>
          <w:color w:val="000000"/>
          <w:sz w:val="22"/>
        </w:rPr>
        <w:t>21 CFR 1306.08</w:t>
      </w:r>
      <w:r>
        <w:rPr>
          <w:rFonts w:ascii="Times New Roman" w:hAnsi="Times New Roman"/>
          <w:b w:val="false"/>
          <w:i w:val="false"/>
          <w:color w:val="000000"/>
          <w:sz w:val="22"/>
        </w:rPr>
        <w:t xml:space="preserve"> as amended on August 28,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substances for refilling. </w:t>
      </w:r>
      <w:r>
        <w:rPr>
          <w:rFonts w:ascii="Times New Roman" w:hAnsi="Times New Roman"/>
          <w:b w:val="false"/>
          <w:i w:val="false"/>
          <w:color w:val="000000"/>
          <w:sz w:val="22"/>
        </w:rPr>
        <w:t xml:space="preserve">Documentation of transfers of controlled substance prescriptions for refilling will be in accordance with </w:t>
      </w:r>
      <w:r>
        <w:rPr>
          <w:rFonts w:ascii="Times New Roman" w:hAnsi="Times New Roman"/>
          <w:b w:val="false"/>
          <w:i w:val="false"/>
          <w:color w:val="000000"/>
          <w:sz w:val="22"/>
        </w:rPr>
        <w:t>21 CFR 1306.25</w:t>
      </w:r>
      <w:r>
        <w:rPr>
          <w:rFonts w:ascii="Times New Roman" w:hAnsi="Times New Roman"/>
          <w:b w:val="false"/>
          <w:i w:val="false"/>
          <w:color w:val="000000"/>
          <w:sz w:val="22"/>
        </w:rPr>
        <w:t xml:space="preserve"> as amended on August 28,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Noncontrolled substances. </w:t>
      </w:r>
      <w:r>
        <w:rPr>
          <w:rFonts w:ascii="Times New Roman" w:hAnsi="Times New Roman"/>
          <w:b w:val="false"/>
          <w:i w:val="false"/>
          <w:color w:val="000000"/>
          <w:sz w:val="22"/>
        </w:rPr>
        <w:t xml:space="preserve">Documentation of transfers of noncontrolled substance prescriptions will include the required elements identified in </w:t>
      </w:r>
      <w:r>
        <w:rPr>
          <w:rFonts w:ascii="Times New Roman" w:hAnsi="Times New Roman"/>
          <w:b w:val="false"/>
          <w:i w:val="false"/>
          <w:color w:val="000000"/>
          <w:sz w:val="22"/>
        </w:rPr>
        <w:t>21 CFR 1306.25</w:t>
      </w:r>
      <w:r>
        <w:rPr>
          <w:rFonts w:ascii="Times New Roman" w:hAnsi="Times New Roman"/>
          <w:b w:val="false"/>
          <w:i w:val="false"/>
          <w:color w:val="000000"/>
          <w:sz w:val="22"/>
        </w:rPr>
        <w:t xml:space="preserve"> as amended on August 28, 2023, except for the date of original dispensing, location(s) of previous refill(s), and DEA registration numbers of the pharmacies party to the transfer.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481—552.17</w:t>
      </w:r>
      <w:r>
        <w:rPr>
          <w:rFonts w:ascii="Times New Roman" w:hAnsi="Times New Roman"/>
          <w:b/>
          <w:i w:val="false"/>
          <w:color w:val="000000"/>
          <w:sz w:val="22"/>
        </w:rPr>
        <w:t xml:space="preserve">(155A) </w:t>
      </w:r>
      <w:r>
        <w:rPr>
          <w:rFonts w:ascii="Times New Roman" w:hAnsi="Times New Roman"/>
          <w:b/>
          <w:i w:val="false"/>
          <w:color w:val="000000"/>
          <w:sz w:val="22"/>
        </w:rPr>
        <w:t xml:space="preserve">Contract pharmacy services. </w:t>
      </w:r>
      <w:r>
        <w:rPr>
          <w:rFonts w:ascii="Times New Roman" w:hAnsi="Times New Roman"/>
          <w:b w:val="false"/>
          <w:i w:val="false"/>
          <w:color w:val="000000"/>
          <w:sz w:val="22"/>
        </w:rPr>
        <w:t>A pharmacy may, via an executed agreement between the entities or through common ownership, utilize the services of another Iowa-licensed pharmacy for prescription processing, filling, or dispensing when: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552.17(1)</w:t>
      </w:r>
      <w:r>
        <w:rPr>
          <w:rFonts w:ascii="Times New Roman" w:hAnsi="Times New Roman"/>
          <w:b w:val="false"/>
          <w:i w:val="false"/>
          <w:color w:val="000000"/>
          <w:sz w:val="22"/>
        </w:rPr>
        <w:t> </w:t>
      </w:r>
      <w:r>
        <w:rPr>
          <w:rFonts w:ascii="Times New Roman" w:hAnsi="Times New Roman"/>
          <w:b w:val="false"/>
          <w:i w:val="false"/>
          <w:color w:val="000000"/>
          <w:sz w:val="22"/>
        </w:rPr>
        <w:t>The entities involved have real-time electronic access to the prescription in process that is secure from unauthorized access and maintains patient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552.17(2)</w:t>
      </w:r>
      <w:r>
        <w:rPr>
          <w:rFonts w:ascii="Times New Roman" w:hAnsi="Times New Roman"/>
          <w:b w:val="false"/>
          <w:i w:val="false"/>
          <w:color w:val="000000"/>
          <w:sz w:val="22"/>
        </w:rPr>
        <w:t> </w:t>
      </w:r>
      <w:r>
        <w:rPr>
          <w:rFonts w:ascii="Times New Roman" w:hAnsi="Times New Roman"/>
          <w:b w:val="false"/>
          <w:i w:val="false"/>
          <w:color w:val="000000"/>
          <w:sz w:val="22"/>
        </w:rPr>
        <w:t>Any prescription processing system utilized documents the identification of each individual involved in each step or function of prescription processing, filling or dispensing.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552.17(3)</w:t>
      </w:r>
      <w:r>
        <w:rPr>
          <w:rFonts w:ascii="Times New Roman" w:hAnsi="Times New Roman"/>
          <w:b w:val="false"/>
          <w:i w:val="false"/>
          <w:color w:val="000000"/>
          <w:sz w:val="22"/>
        </w:rPr>
        <w:t> </w:t>
      </w:r>
      <w:r>
        <w:rPr>
          <w:rFonts w:ascii="Times New Roman" w:hAnsi="Times New Roman"/>
          <w:b w:val="false"/>
          <w:i w:val="false"/>
          <w:color w:val="000000"/>
          <w:sz w:val="22"/>
        </w:rPr>
        <w:t>Patient counseling is provided by a pharmacist or pharmacist-intern in a professional setting that can maintain patient privacy.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552.17(4)</w:t>
      </w:r>
      <w:r>
        <w:rPr>
          <w:rFonts w:ascii="Times New Roman" w:hAnsi="Times New Roman"/>
          <w:b w:val="false"/>
          <w:i w:val="false"/>
          <w:color w:val="000000"/>
          <w:sz w:val="22"/>
        </w:rPr>
        <w:t> </w:t>
      </w:r>
      <w:r>
        <w:rPr>
          <w:rFonts w:ascii="Times New Roman" w:hAnsi="Times New Roman"/>
          <w:b w:val="false"/>
          <w:i w:val="false"/>
          <w:color w:val="000000"/>
          <w:sz w:val="22"/>
        </w:rPr>
        <w:t>The pharmacy that maintains the original prescription record maintains ultimate responsibility to ensure compliance with all laws and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481—552.18</w:t>
      </w:r>
      <w:r>
        <w:rPr>
          <w:rFonts w:ascii="Times New Roman" w:hAnsi="Times New Roman"/>
          <w:b/>
          <w:i w:val="false"/>
          <w:color w:val="000000"/>
          <w:sz w:val="22"/>
        </w:rPr>
        <w:t xml:space="preserve">(155A) </w:t>
      </w:r>
      <w:r>
        <w:rPr>
          <w:rFonts w:ascii="Times New Roman" w:hAnsi="Times New Roman"/>
          <w:b/>
          <w:i w:val="false"/>
          <w:color w:val="000000"/>
          <w:sz w:val="22"/>
        </w:rPr>
        <w:t xml:space="preserve">Telepharmacy.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552.18(1)</w:t>
      </w:r>
      <w:r>
        <w:rPr>
          <w:rFonts w:ascii="Times New Roman" w:hAnsi="Times New Roman"/>
          <w:b w:val="false"/>
          <w:i w:val="false"/>
          <w:color w:val="000000"/>
          <w:sz w:val="22"/>
        </w:rPr>
        <w:t> </w:t>
      </w:r>
      <w:r>
        <w:rPr>
          <w:rFonts w:ascii="Times New Roman" w:hAnsi="Times New Roman"/>
          <w:b w:val="false"/>
          <w:i/>
          <w:color w:val="000000"/>
          <w:sz w:val="22"/>
        </w:rPr>
        <w:t xml:space="preserve">Managing pharmacy requirement. </w:t>
      </w:r>
      <w:r>
        <w:rPr>
          <w:rFonts w:ascii="Times New Roman" w:hAnsi="Times New Roman"/>
          <w:b w:val="false"/>
          <w:i w:val="false"/>
          <w:color w:val="000000"/>
          <w:sz w:val="22"/>
        </w:rPr>
        <w:t>Only an Iowa-licensed and Iowa-located pharmacy can serve as a managing pharmacy for a telepharmacy site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552.18(2)</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An agreement between a telepharmacy and a managing pharmacy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services to be provided by the managing pharmacy, including adequate on-site pharmacist presence to meet the needs of the pharmacy that is no less than 16 hours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conditions under which the telepharmacy may be operational.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552.18(3)</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Notwithstanding other rules of the board, a telepharmacy site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perpetual inventory system in accordance with </w:t>
      </w:r>
      <w:hyperlink r:id="rId25">
        <w:r>
          <w:rPr>
            <w:rStyle w:val="Hyperlink"/>
            <w:rFonts w:ascii="Times New Roman" w:hAnsi="Times New Roman"/>
            <w:b w:val="false"/>
            <w:i w:val="false"/>
            <w:color w:val="000000"/>
            <w:sz w:val="22"/>
          </w:rPr>
          <w:t>481—subrule 553.6</w:t>
        </w:r>
      </w:hyperlink>
      <w:r>
        <w:rPr>
          <w:rFonts w:ascii="Times New Roman" w:hAnsi="Times New Roman"/>
          <w:b w:val="false"/>
          <w:i w:val="false"/>
          <w:color w:val="000000"/>
          <w:sz w:val="22"/>
        </w:rPr>
        <w:t>(1) for all controlled substances at the telepharmacy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documentation of a monthly inspection at the telepharmacy site conducted by an on-site pharmacist in accordance with subrule </w:t>
      </w:r>
      <w:hyperlink r:id="rId26">
        <w:r>
          <w:rPr>
            <w:rStyle w:val="Hyperlink"/>
            <w:rFonts w:ascii="Times New Roman" w:hAnsi="Times New Roman"/>
            <w:b w:val="false"/>
            <w:i w:val="false"/>
            <w:color w:val="000000"/>
            <w:sz w:val="22"/>
          </w:rPr>
          <w:t>552.18(4)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552.18(4)</w:t>
      </w:r>
      <w:r>
        <w:rPr>
          <w:rFonts w:ascii="Times New Roman" w:hAnsi="Times New Roman"/>
          <w:b w:val="false"/>
          <w:i w:val="false"/>
          <w:color w:val="000000"/>
          <w:sz w:val="22"/>
        </w:rPr>
        <w:t> </w:t>
      </w:r>
      <w:r>
        <w:rPr>
          <w:rFonts w:ascii="Times New Roman" w:hAnsi="Times New Roman"/>
          <w:b w:val="false"/>
          <w:i/>
          <w:color w:val="000000"/>
          <w:sz w:val="22"/>
        </w:rPr>
        <w:t xml:space="preserve">Monthly inspection. </w:t>
      </w:r>
      <w:r>
        <w:rPr>
          <w:rFonts w:ascii="Times New Roman" w:hAnsi="Times New Roman"/>
          <w:b w:val="false"/>
          <w:i w:val="false"/>
          <w:color w:val="000000"/>
          <w:sz w:val="22"/>
        </w:rPr>
        <w:t xml:space="preserve">The monthly inspection will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Audit and reconciliation of controlled substance perpetual and physical inventories.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that the video recording system is functioning properly and that the recordings are available for at least 60 days beyond the recording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Compilation of data from the previous month to include the number of prescriptions filled, the number of on-site pharmacist hours, and the number of hours the telepharmacy site was open for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552.18(5)</w:t>
      </w:r>
      <w:r>
        <w:rPr>
          <w:rFonts w:ascii="Times New Roman" w:hAnsi="Times New Roman"/>
          <w:b w:val="false"/>
          <w:i w:val="false"/>
          <w:color w:val="000000"/>
          <w:sz w:val="22"/>
        </w:rPr>
        <w:t> </w:t>
      </w:r>
      <w:r>
        <w:rPr>
          <w:rFonts w:ascii="Times New Roman" w:hAnsi="Times New Roman"/>
          <w:b w:val="false"/>
          <w:i/>
          <w:color w:val="000000"/>
          <w:sz w:val="22"/>
        </w:rPr>
        <w:t xml:space="preserve">Conversion to general pharmacy. </w:t>
      </w:r>
      <w:r>
        <w:rPr>
          <w:rFonts w:ascii="Times New Roman" w:hAnsi="Times New Roman"/>
          <w:b w:val="false"/>
          <w:i w:val="false"/>
          <w:color w:val="000000"/>
          <w:sz w:val="22"/>
        </w:rPr>
        <w:t>If the average number of prescriptions dispensed per day, calculated as the average number of prescriptions dispensed per day over the previous 90-day period, exceeds 150 prescriptions, the telepharmacy site will provide on-site pharmacist staffing 100 percent of the time the telepharmacy is open for business and will, within 30 days, submit an application for licensure as a general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481—552.19</w:t>
      </w:r>
      <w:r>
        <w:rPr>
          <w:rFonts w:ascii="Times New Roman" w:hAnsi="Times New Roman"/>
          <w:b/>
          <w:i w:val="false"/>
          <w:color w:val="000000"/>
          <w:sz w:val="22"/>
        </w:rPr>
        <w:t xml:space="preserve">(155A) </w:t>
      </w:r>
      <w:r>
        <w:rPr>
          <w:rFonts w:ascii="Times New Roman" w:hAnsi="Times New Roman"/>
          <w:b/>
          <w:i w:val="false"/>
          <w:color w:val="000000"/>
          <w:sz w:val="22"/>
        </w:rPr>
        <w:t xml:space="preserve">Packaging. </w:t>
      </w:r>
      <w:r>
        <w:rPr>
          <w:rFonts w:ascii="Times New Roman" w:hAnsi="Times New Roman"/>
          <w:b w:val="false"/>
          <w:i w:val="false"/>
          <w:color w:val="000000"/>
          <w:sz w:val="22"/>
        </w:rPr>
        <w:t>Medications will be packaged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552.19(1)</w:t>
      </w:r>
      <w:r>
        <w:rPr>
          <w:rFonts w:ascii="Times New Roman" w:hAnsi="Times New Roman"/>
          <w:b w:val="false"/>
          <w:i w:val="false"/>
          <w:color w:val="000000"/>
          <w:sz w:val="22"/>
        </w:rPr>
        <w:t> </w:t>
      </w:r>
      <w:r>
        <w:rPr>
          <w:rFonts w:ascii="Times New Roman" w:hAnsi="Times New Roman"/>
          <w:b w:val="false"/>
          <w:i w:val="false"/>
          <w:color w:val="000000"/>
          <w:sz w:val="22"/>
        </w:rPr>
        <w:t>The packaging is appropriate for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packaging can be appropriately labeled in accordance with rule </w:t>
      </w:r>
      <w:hyperlink r:id="rId27">
        <w:r>
          <w:rPr>
            <w:rStyle w:val="Hyperlink"/>
            <w:rFonts w:ascii="Times New Roman" w:hAnsi="Times New Roman"/>
            <w:b w:val="false"/>
            <w:i w:val="false"/>
            <w:color w:val="000000"/>
            <w:sz w:val="22"/>
          </w:rPr>
          <w:t>481—552.21</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552.19(3)</w:t>
      </w:r>
      <w:r>
        <w:rPr>
          <w:rFonts w:ascii="Times New Roman" w:hAnsi="Times New Roman"/>
          <w:b w:val="false"/>
          <w:i w:val="false"/>
          <w:color w:val="000000"/>
          <w:sz w:val="22"/>
        </w:rPr>
        <w:t> </w:t>
      </w:r>
      <w:r>
        <w:rPr>
          <w:rFonts w:ascii="Times New Roman" w:hAnsi="Times New Roman"/>
          <w:b w:val="false"/>
          <w:i w:val="false"/>
          <w:color w:val="000000"/>
          <w:sz w:val="22"/>
        </w:rPr>
        <w:t>An assigned beyond-use date is appropriate for the medication and packaging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552.19(4)</w:t>
      </w:r>
      <w:r>
        <w:rPr>
          <w:rFonts w:ascii="Times New Roman" w:hAnsi="Times New Roman"/>
          <w:b w:val="false"/>
          <w:i w:val="false"/>
          <w:color w:val="000000"/>
          <w:sz w:val="22"/>
        </w:rPr>
        <w:t> </w:t>
      </w:r>
      <w:r>
        <w:rPr>
          <w:rFonts w:ascii="Times New Roman" w:hAnsi="Times New Roman"/>
          <w:b w:val="false"/>
          <w:i w:val="false"/>
          <w:color w:val="000000"/>
          <w:sz w:val="22"/>
        </w:rPr>
        <w:t>Medications that were comingled with other medications or any medication for which storage conditions and product integrity cannot be verified, as described in pharmacy policies and procedures, will not be returned to pharmacy stock.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481—552.20</w:t>
      </w:r>
      <w:r>
        <w:rPr>
          <w:rFonts w:ascii="Times New Roman" w:hAnsi="Times New Roman"/>
          <w:b/>
          <w:i w:val="false"/>
          <w:color w:val="000000"/>
          <w:sz w:val="22"/>
        </w:rPr>
        <w:t xml:space="preserve">(155A) </w:t>
      </w:r>
      <w:r>
        <w:rPr>
          <w:rFonts w:ascii="Times New Roman" w:hAnsi="Times New Roman"/>
          <w:b/>
          <w:i w:val="false"/>
          <w:color w:val="000000"/>
          <w:sz w:val="22"/>
        </w:rPr>
        <w:t xml:space="preserve">AMDS.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552.20(1)</w:t>
      </w:r>
      <w:r>
        <w:rPr>
          <w:rFonts w:ascii="Times New Roman" w:hAnsi="Times New Roman"/>
          <w:b w:val="false"/>
          <w:i w:val="false"/>
          <w:color w:val="000000"/>
          <w:sz w:val="22"/>
        </w:rPr>
        <w:t> </w:t>
      </w:r>
      <w:r>
        <w:rPr>
          <w:rFonts w:ascii="Times New Roman" w:hAnsi="Times New Roman"/>
          <w:b w:val="false"/>
          <w:i/>
          <w:color w:val="000000"/>
          <w:sz w:val="22"/>
        </w:rPr>
        <w:t xml:space="preserve">Stocking AMDS. </w:t>
      </w:r>
      <w:r>
        <w:rPr>
          <w:rFonts w:ascii="Times New Roman" w:hAnsi="Times New Roman"/>
          <w:b w:val="false"/>
          <w:i w:val="false"/>
          <w:color w:val="000000"/>
          <w:sz w:val="22"/>
        </w:rPr>
        <w:t>Drug products will be loaded into an AMDS or component via barcode scanning by pharmacy personnel, except pharmacy support persons, as delegated by the supervising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552.20(2)</w:t>
      </w:r>
      <w:r>
        <w:rPr>
          <w:rFonts w:ascii="Times New Roman" w:hAnsi="Times New Roman"/>
          <w:b w:val="false"/>
          <w:i w:val="false"/>
          <w:color w:val="000000"/>
          <w:sz w:val="22"/>
        </w:rPr>
        <w:t> </w:t>
      </w:r>
      <w:r>
        <w:rPr>
          <w:rFonts w:ascii="Times New Roman" w:hAnsi="Times New Roman"/>
          <w:b w:val="false"/>
          <w:i/>
          <w:color w:val="000000"/>
          <w:sz w:val="22"/>
        </w:rPr>
        <w:t xml:space="preserve">Pharmacist verification of AMDS-dispensed drugs.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Prepackaged medications that were verified by a pharmacist prior to being stocked in the AMDS and that are not further manipulated will not require additional verification prior to dispensing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8">
        <w:r>
          <w:rPr>
            <w:rStyle w:val="Hyperlink"/>
            <w:rFonts w:ascii="Times New Roman" w:hAnsi="Times New Roman"/>
            <w:b w:val="false"/>
            <w:i w:val="false"/>
            <w:color w:val="000000"/>
            <w:sz w:val="22"/>
          </w:rPr>
          <w:t>552.20(3)</w:t>
        </w:r>
      </w:hyperlink>
      <w:r>
        <w:rPr>
          <w:rFonts w:ascii="Times New Roman" w:hAnsi="Times New Roman"/>
          <w:b w:val="false"/>
          <w:i/>
          <w:color w:val="000000"/>
          <w:sz w:val="22"/>
        </w:rPr>
        <w:t>“b,”</w:t>
      </w:r>
      <w:r>
        <w:rPr>
          <w:rFonts w:ascii="Times New Roman" w:hAnsi="Times New Roman"/>
          <w:b w:val="false"/>
          <w:i w:val="false"/>
          <w:color w:val="000000"/>
          <w:sz w:val="22"/>
        </w:rPr>
        <w:t xml:space="preserve"> a pharmacist will document final verification of any medication manipulated by the AMDS (such as counting or packaging) prior to dispensing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552.20(3)</w:t>
      </w:r>
      <w:r>
        <w:rPr>
          <w:rFonts w:ascii="Times New Roman" w:hAnsi="Times New Roman"/>
          <w:b w:val="false"/>
          <w:i w:val="false"/>
          <w:color w:val="000000"/>
          <w:sz w:val="22"/>
        </w:rPr>
        <w:t> </w:t>
      </w:r>
      <w:r>
        <w:rPr>
          <w:rFonts w:ascii="Times New Roman" w:hAnsi="Times New Roman"/>
          <w:b w:val="false"/>
          <w:i/>
          <w:color w:val="000000"/>
          <w:sz w:val="22"/>
        </w:rPr>
        <w:t xml:space="preserve">Placement of AMDS.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9">
        <w:r>
          <w:rPr>
            <w:rStyle w:val="Hyperlink"/>
            <w:rFonts w:ascii="Times New Roman" w:hAnsi="Times New Roman"/>
            <w:b w:val="false"/>
            <w:i w:val="false"/>
            <w:color w:val="000000"/>
            <w:sz w:val="22"/>
          </w:rPr>
          <w:t>552.20(3)</w:t>
        </w:r>
      </w:hyperlink>
      <w:r>
        <w:rPr>
          <w:rFonts w:ascii="Times New Roman" w:hAnsi="Times New Roman"/>
          <w:b w:val="false"/>
          <w:i/>
          <w:color w:val="000000"/>
          <w:sz w:val="22"/>
        </w:rPr>
        <w:t>“b,”</w:t>
      </w:r>
      <w:r>
        <w:rPr>
          <w:rFonts w:ascii="Times New Roman" w:hAnsi="Times New Roman"/>
          <w:b w:val="false"/>
          <w:i w:val="false"/>
          <w:color w:val="000000"/>
          <w:sz w:val="22"/>
        </w:rPr>
        <w:t xml:space="preserve"> an AMDS may only be placed outside a pharmacist’s direct supervision when utilized in an approved telepharmacy or when the AMDS dispenses pharmacist-verified packages in compliance with paragraph </w:t>
      </w:r>
      <w:hyperlink r:id="rId30">
        <w:r>
          <w:rPr>
            <w:rStyle w:val="Hyperlink"/>
            <w:rFonts w:ascii="Times New Roman" w:hAnsi="Times New Roman"/>
            <w:b w:val="false"/>
            <w:i w:val="false"/>
            <w:color w:val="000000"/>
            <w:sz w:val="22"/>
          </w:rPr>
          <w:t>552.20(2)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pharmacy may place and maintain an AMDS in an Iowa-licensed institution for administration to institution patients pursuant to policies and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481—552.21</w:t>
      </w:r>
      <w:r>
        <w:rPr>
          <w:rFonts w:ascii="Times New Roman" w:hAnsi="Times New Roman"/>
          <w:b/>
          <w:i w:val="false"/>
          <w:color w:val="000000"/>
          <w:sz w:val="22"/>
        </w:rPr>
        <w:t xml:space="preserve">(155A) </w:t>
      </w:r>
      <w:r>
        <w:rPr>
          <w:rFonts w:ascii="Times New Roman" w:hAnsi="Times New Roman"/>
          <w:b/>
          <w:i w:val="false"/>
          <w:color w:val="000000"/>
          <w:sz w:val="22"/>
        </w:rPr>
        <w:t xml:space="preserve">Labeling.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552.21(1)</w:t>
      </w:r>
      <w:r>
        <w:rPr>
          <w:rFonts w:ascii="Times New Roman" w:hAnsi="Times New Roman"/>
          <w:b w:val="false"/>
          <w:i w:val="false"/>
          <w:color w:val="000000"/>
          <w:sz w:val="22"/>
        </w:rPr>
        <w:t> </w:t>
      </w:r>
      <w:r>
        <w:rPr>
          <w:rFonts w:ascii="Times New Roman" w:hAnsi="Times New Roman"/>
          <w:b w:val="false"/>
          <w:i/>
          <w:color w:val="000000"/>
          <w:sz w:val="22"/>
        </w:rPr>
        <w:t xml:space="preserve">Ambulatory prescription labeling. </w:t>
      </w:r>
      <w:r>
        <w:rPr>
          <w:rFonts w:ascii="Times New Roman" w:hAnsi="Times New Roman"/>
          <w:b w:val="false"/>
          <w:i w:val="false"/>
          <w:color w:val="000000"/>
          <w:sz w:val="22"/>
        </w:rPr>
        <w:t>The required labeling elements for a prescription dispensed for an ambulatory patient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name, except as provided by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Prescriber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Pharmacy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Product name, strength, dosage form, and quantity.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Instructions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Dispense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Unique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Manufacturer name or NDC.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552.21(2)</w:t>
      </w:r>
      <w:r>
        <w:rPr>
          <w:rFonts w:ascii="Times New Roman" w:hAnsi="Times New Roman"/>
          <w:b w:val="false"/>
          <w:i w:val="false"/>
          <w:color w:val="000000"/>
          <w:sz w:val="22"/>
        </w:rPr>
        <w:t> </w:t>
      </w:r>
      <w:r>
        <w:rPr>
          <w:rFonts w:ascii="Times New Roman" w:hAnsi="Times New Roman"/>
          <w:b w:val="false"/>
          <w:i/>
          <w:color w:val="000000"/>
          <w:sz w:val="22"/>
        </w:rPr>
        <w:t xml:space="preserve">Institutional patient-specific prescription labeling. </w:t>
      </w:r>
      <w:r>
        <w:rPr>
          <w:rFonts w:ascii="Times New Roman" w:hAnsi="Times New Roman"/>
          <w:b w:val="false"/>
          <w:i w:val="false"/>
          <w:color w:val="000000"/>
          <w:sz w:val="22"/>
        </w:rPr>
        <w:t>The required labeling elements for a patient-specific supply of prescription medication dispensed for an institutional patient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the immediate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Drug name, strength, and 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outer packaging, if not present on the immediate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Pharmacy name, address, and telephone number unless the pharmacy is located within the institutional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Dispense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Unique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Beyond-use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552.21(3)</w:t>
      </w:r>
      <w:r>
        <w:rPr>
          <w:rFonts w:ascii="Times New Roman" w:hAnsi="Times New Roman"/>
          <w:b w:val="false"/>
          <w:i w:val="false"/>
          <w:color w:val="000000"/>
          <w:sz w:val="22"/>
        </w:rPr>
        <w:t> </w:t>
      </w:r>
      <w:r>
        <w:rPr>
          <w:rFonts w:ascii="Times New Roman" w:hAnsi="Times New Roman"/>
          <w:b w:val="false"/>
          <w:i/>
          <w:color w:val="000000"/>
          <w:sz w:val="22"/>
        </w:rPr>
        <w:t xml:space="preserve">Non-patient-specific drug labeling. </w:t>
      </w:r>
      <w:r>
        <w:rPr>
          <w:rFonts w:ascii="Times New Roman" w:hAnsi="Times New Roman"/>
          <w:b w:val="false"/>
          <w:i w:val="false"/>
          <w:color w:val="000000"/>
          <w:sz w:val="22"/>
        </w:rPr>
        <w:t>The required labeling elements for a non-patient-specific supply of prescription medication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Drug name, strength, and 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Drug manufacturer or NDC.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Expiration or beyond-use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552.21(4)</w:t>
      </w:r>
      <w:r>
        <w:rPr>
          <w:rFonts w:ascii="Times New Roman" w:hAnsi="Times New Roman"/>
          <w:b w:val="false"/>
          <w:i w:val="false"/>
          <w:color w:val="000000"/>
          <w:sz w:val="22"/>
        </w:rPr>
        <w:t> </w:t>
      </w:r>
      <w:r>
        <w:rPr>
          <w:rFonts w:ascii="Times New Roman" w:hAnsi="Times New Roman"/>
          <w:b w:val="false"/>
          <w:i/>
          <w:color w:val="000000"/>
          <w:sz w:val="22"/>
        </w:rPr>
        <w:t xml:space="preserve">Compounded patient-specific preparation labeling. </w:t>
      </w:r>
      <w:r>
        <w:rPr>
          <w:rFonts w:ascii="Times New Roman" w:hAnsi="Times New Roman"/>
          <w:b w:val="false"/>
          <w:i w:val="false"/>
          <w:color w:val="000000"/>
          <w:sz w:val="22"/>
        </w:rPr>
        <w:t xml:space="preserve">In addition to the required labeling identified in subrule </w:t>
      </w:r>
      <w:hyperlink r:id="rId31">
        <w:r>
          <w:rPr>
            <w:rStyle w:val="Hyperlink"/>
            <w:rFonts w:ascii="Times New Roman" w:hAnsi="Times New Roman"/>
            <w:b w:val="false"/>
            <w:i w:val="false"/>
            <w:color w:val="000000"/>
            <w:sz w:val="22"/>
          </w:rPr>
          <w:t>552.21(1)</w:t>
        </w:r>
      </w:hyperlink>
      <w:r>
        <w:rPr>
          <w:rFonts w:ascii="Times New Roman" w:hAnsi="Times New Roman"/>
          <w:b w:val="false"/>
          <w:i w:val="false"/>
          <w:color w:val="000000"/>
          <w:sz w:val="22"/>
        </w:rPr>
        <w:t xml:space="preserve"> or </w:t>
      </w:r>
      <w:hyperlink r:id="rId32">
        <w:r>
          <w:rPr>
            <w:rStyle w:val="Hyperlink"/>
            <w:rFonts w:ascii="Times New Roman" w:hAnsi="Times New Roman"/>
            <w:b w:val="false"/>
            <w:i w:val="false"/>
            <w:color w:val="000000"/>
            <w:sz w:val="22"/>
          </w:rPr>
          <w:t>552.21(2)</w:t>
        </w:r>
      </w:hyperlink>
      <w:r>
        <w:rPr>
          <w:rFonts w:ascii="Times New Roman" w:hAnsi="Times New Roman"/>
          <w:b w:val="false"/>
          <w:i w:val="false"/>
          <w:color w:val="000000"/>
          <w:sz w:val="22"/>
        </w:rPr>
        <w:t>, as applicable, a label for a compounded preparation will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concentration of each active ingredient.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that the preparation was compounded.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Special storage and handling instructions,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 in institutional settings, the statement “THIS IS A COMPOUNDED DRUG” or a similar statement identifying the product as a compounded preparation, including the term “STERILE”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batch identification or control number from which the preparation was dispensed,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Beyond-use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552.21(5)</w:t>
      </w:r>
      <w:r>
        <w:rPr>
          <w:rFonts w:ascii="Times New Roman" w:hAnsi="Times New Roman"/>
          <w:b w:val="false"/>
          <w:i w:val="false"/>
          <w:color w:val="000000"/>
          <w:sz w:val="22"/>
        </w:rPr>
        <w:t> </w:t>
      </w:r>
      <w:r>
        <w:rPr>
          <w:rFonts w:ascii="Times New Roman" w:hAnsi="Times New Roman"/>
          <w:b w:val="false"/>
          <w:i/>
          <w:color w:val="000000"/>
          <w:sz w:val="22"/>
        </w:rPr>
        <w:t xml:space="preserve">Compounded non-patient-specific preparation labeling—batch compounding or veterinary office supply. </w:t>
      </w:r>
      <w:r>
        <w:rPr>
          <w:rFonts w:ascii="Times New Roman" w:hAnsi="Times New Roman"/>
          <w:b w:val="false"/>
          <w:i w:val="false"/>
          <w:color w:val="000000"/>
          <w:sz w:val="22"/>
        </w:rPr>
        <w:t>The required labeling elements for a non-patient-specific supply of a compounded preparation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Preparation name, strength, dosage form, and quantity.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and concentration of each active ingredient.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Pharmacy name, address, and telephone number, except when batch compounding.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Preparation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Beyond-use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Storage and handling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Lot or batch identification or control number,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statement “THIS IS A COMPOUNDED DRUG” or a similar statement identifying the product as a compounded preparation, including the term “STERILE” when applicable, except for use within an institutional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statement “NOT FOR REDISTRIBUTION” or a similar statement to ensure that use of the compounded preparation is limited to direct patient administration or dispensing pursuant to a patient-specific prescription.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481—552.22</w:t>
      </w:r>
      <w:r>
        <w:rPr>
          <w:rFonts w:ascii="Times New Roman" w:hAnsi="Times New Roman"/>
          <w:b/>
          <w:i w:val="false"/>
          <w:color w:val="000000"/>
          <w:sz w:val="22"/>
        </w:rPr>
        <w:t xml:space="preserve">(155A) </w:t>
      </w:r>
      <w:r>
        <w:rPr>
          <w:rFonts w:ascii="Times New Roman" w:hAnsi="Times New Roman"/>
          <w:b/>
          <w:i w:val="false"/>
          <w:color w:val="000000"/>
          <w:sz w:val="22"/>
        </w:rPr>
        <w:t xml:space="preserve">Compounding.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552.22(1)</w:t>
      </w:r>
      <w:r>
        <w:rPr>
          <w:rFonts w:ascii="Times New Roman" w:hAnsi="Times New Roman"/>
          <w:b w:val="false"/>
          <w:i w:val="false"/>
          <w:color w:val="000000"/>
          <w:sz w:val="22"/>
        </w:rPr>
        <w:t> </w:t>
      </w:r>
      <w:r>
        <w:rPr>
          <w:rFonts w:ascii="Times New Roman" w:hAnsi="Times New Roman"/>
          <w:b w:val="false"/>
          <w:i/>
          <w:color w:val="000000"/>
          <w:sz w:val="22"/>
        </w:rPr>
        <w:t xml:space="preserve">USP standards—pharmacies. </w:t>
      </w:r>
      <w:r>
        <w:rPr>
          <w:rFonts w:ascii="Times New Roman" w:hAnsi="Times New Roman"/>
          <w:b w:val="false"/>
          <w:i w:val="false"/>
          <w:color w:val="000000"/>
          <w:sz w:val="22"/>
        </w:rPr>
        <w:t xml:space="preserve">Preparations compounded </w:t>
      </w:r>
      <w:r>
        <w:rPr>
          <w:rFonts w:ascii="Times New Roman" w:hAnsi="Times New Roman"/>
          <w:b w:val="false"/>
          <w:i w:val="false"/>
          <w:color w:val="000000"/>
          <w:sz w:val="22"/>
        </w:rPr>
        <w:t>pursuant to 21 U.S.C. §</w:t>
      </w:r>
      <w:r>
        <w:rPr>
          <w:rFonts w:ascii="Times New Roman" w:hAnsi="Times New Roman"/>
          <w:b w:val="false"/>
          <w:i w:val="false"/>
          <w:color w:val="000000"/>
          <w:sz w:val="22"/>
        </w:rPr>
        <w:t>353a (Food, Drug, and Cosmetic Act §503A) as amended November 27, 2013, will be prepared in accordance with the standards of USP General Chapter 795 (2023) for nonsterile compounds and USP General Chapter 797 (2023) for sterile compounds.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552.22(2)</w:t>
      </w:r>
      <w:r>
        <w:rPr>
          <w:rFonts w:ascii="Times New Roman" w:hAnsi="Times New Roman"/>
          <w:b w:val="false"/>
          <w:i w:val="false"/>
          <w:color w:val="000000"/>
          <w:sz w:val="22"/>
        </w:rPr>
        <w:t> </w:t>
      </w:r>
      <w:r>
        <w:rPr>
          <w:rFonts w:ascii="Times New Roman" w:hAnsi="Times New Roman"/>
          <w:b w:val="false"/>
          <w:i/>
          <w:color w:val="000000"/>
          <w:sz w:val="22"/>
        </w:rPr>
        <w:t xml:space="preserve">Compounding copies of an approved drug.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compounding of a preparation that is essentially a copy of an FDA-approved drug is prohibited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compounded preparation is changed to produce for an individual patient a clinically significant difference to meet a medical need as documented by the prescriber,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FDA-approved product is identified as currently in shortage on the FDA drug shortages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factors that indicate that a compounded preparation is essentially a copy of an approved drug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compounded preparation has the same active pharmaceutical ingredient(s) as the commercially available drug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active pharmaceutical ingredients have the same, a similar, or an easily substitutable dosage strength;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commercially available drug product can be used by the same route of administration as prescribed for the compounded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prescription issued for a compounded preparation that is essentially a copy of an approved drug will clearly document the relevant change and the significant clinical difference produced for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552.22(3)</w:t>
      </w:r>
      <w:r>
        <w:rPr>
          <w:rFonts w:ascii="Times New Roman" w:hAnsi="Times New Roman"/>
          <w:b w:val="false"/>
          <w:i w:val="false"/>
          <w:color w:val="000000"/>
          <w:sz w:val="22"/>
        </w:rPr>
        <w:t> </w:t>
      </w:r>
      <w:r>
        <w:rPr>
          <w:rFonts w:ascii="Times New Roman" w:hAnsi="Times New Roman"/>
          <w:b w:val="false"/>
          <w:i/>
          <w:color w:val="000000"/>
          <w:sz w:val="22"/>
        </w:rPr>
        <w:t xml:space="preserve">Compounding for veterinary office use. </w:t>
      </w:r>
      <w:r>
        <w:rPr>
          <w:rFonts w:ascii="Times New Roman" w:hAnsi="Times New Roman"/>
          <w:b w:val="false"/>
          <w:i w:val="false"/>
          <w:color w:val="000000"/>
          <w:sz w:val="22"/>
        </w:rPr>
        <w:t>A pharmacy may compound preparations for distribution to a veterinarian for office use, which may include direct patient administration or dispensing pursuant to a patient-specific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552.22(4)</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Annually, prior to April 1, each licensed pharmacy located in Iowa that dispensed compounded preparations for human use interstate in the previous calendar year will report compounding data to the NABP information-sharing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552.22(5)</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The combining of commercially manufactured, ready-to-use products is exempt from USP General Chapter 795 (2023) compounding standards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four commercially manufactured, ready-to-use products (that have not been manipulated) are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Compounding is not done in anticipation of medication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Preparations are assigned beyond-use dates in accordance with USP General Chapter 795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use of commercially manufactured, ready-to-use flavoring agents does not exceed 5 percent of the total volume of the drug to which the flavoring agents are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prescription label will comply with USP General Chapter 795 (2023) and subrule </w:t>
      </w:r>
      <w:hyperlink r:id="rId33">
        <w:r>
          <w:rPr>
            <w:rStyle w:val="Hyperlink"/>
            <w:rFonts w:ascii="Times New Roman" w:hAnsi="Times New Roman"/>
            <w:b w:val="false"/>
            <w:i w:val="false"/>
            <w:color w:val="000000"/>
            <w:sz w:val="22"/>
          </w:rPr>
          <w:t>552.21(4)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552.22(6)</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A record for each compounded preparation will be prepared and maintained and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ingredients used in the preparation, including manufacturer or NDC, lot number, and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compounding steps involved in the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personnel involved in compounding and reviewing the preparation.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481—552.23</w:t>
      </w:r>
      <w:r>
        <w:rPr>
          <w:rFonts w:ascii="Times New Roman" w:hAnsi="Times New Roman"/>
          <w:b/>
          <w:i w:val="false"/>
          <w:color w:val="000000"/>
          <w:sz w:val="22"/>
        </w:rPr>
        <w:t xml:space="preserve">(155A) </w:t>
      </w:r>
      <w:r>
        <w:rPr>
          <w:rFonts w:ascii="Times New Roman" w:hAnsi="Times New Roman"/>
          <w:b/>
          <w:i w:val="false"/>
          <w:color w:val="000000"/>
          <w:sz w:val="22"/>
        </w:rPr>
        <w:t xml:space="preserve">Patient counseling.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552.23(1)</w:t>
      </w:r>
      <w:r>
        <w:rPr>
          <w:rFonts w:ascii="Times New Roman" w:hAnsi="Times New Roman"/>
          <w:b w:val="false"/>
          <w:i w:val="false"/>
          <w:color w:val="000000"/>
          <w:sz w:val="22"/>
        </w:rPr>
        <w:t> </w:t>
      </w:r>
      <w:r>
        <w:rPr>
          <w:rFonts w:ascii="Times New Roman" w:hAnsi="Times New Roman"/>
          <w:b w:val="false"/>
          <w:i/>
          <w:color w:val="000000"/>
          <w:sz w:val="22"/>
        </w:rPr>
        <w:t xml:space="preserve">Counseling required. </w:t>
      </w:r>
      <w:r>
        <w:rPr>
          <w:rFonts w:ascii="Times New Roman" w:hAnsi="Times New Roman"/>
          <w:b w:val="false"/>
          <w:i w:val="false"/>
          <w:color w:val="000000"/>
          <w:sz w:val="22"/>
        </w:rPr>
        <w:t>Except for institutionalized patients, prior to dispensing a prescription that is a new or changed therapy, a pharmacist or pharmacist-intern will counsel the patient or the patient’s caregiver on matters that, in the pharmacist’s professional judgment, will enhance or optimize drug therapy. An offer to counsel will not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552.23(2)</w:t>
      </w:r>
      <w:r>
        <w:rPr>
          <w:rFonts w:ascii="Times New Roman" w:hAnsi="Times New Roman"/>
          <w:b w:val="false"/>
          <w:i w:val="false"/>
          <w:color w:val="000000"/>
          <w:sz w:val="22"/>
        </w:rPr>
        <w:t> </w:t>
      </w:r>
      <w:r>
        <w:rPr>
          <w:rFonts w:ascii="Times New Roman" w:hAnsi="Times New Roman"/>
          <w:b w:val="false"/>
          <w:i/>
          <w:color w:val="000000"/>
          <w:sz w:val="22"/>
        </w:rPr>
        <w:t xml:space="preserve">Counseling area. </w:t>
      </w:r>
      <w:r>
        <w:rPr>
          <w:rFonts w:ascii="Times New Roman" w:hAnsi="Times New Roman"/>
          <w:b w:val="false"/>
          <w:i w:val="false"/>
          <w:color w:val="000000"/>
          <w:sz w:val="22"/>
        </w:rPr>
        <w:t>Each pharmacy located in Iowa will maintain an area for patient counseling that is accessible to patients and the pharmacist, prevents patient access to prescription drugs, and ensures the confidentiality and privacy of the pharmacist/patient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552.23(3)</w:t>
      </w:r>
      <w:r>
        <w:rPr>
          <w:rFonts w:ascii="Times New Roman" w:hAnsi="Times New Roman"/>
          <w:b w:val="false"/>
          <w:i w:val="false"/>
          <w:color w:val="000000"/>
          <w:sz w:val="22"/>
        </w:rPr>
        <w:t> </w:t>
      </w:r>
      <w:r>
        <w:rPr>
          <w:rFonts w:ascii="Times New Roman" w:hAnsi="Times New Roman"/>
          <w:b w:val="false"/>
          <w:i/>
          <w:color w:val="000000"/>
          <w:sz w:val="22"/>
        </w:rPr>
        <w:t xml:space="preserve">Alternative methods. </w:t>
      </w:r>
      <w:r>
        <w:rPr>
          <w:rFonts w:ascii="Times New Roman" w:hAnsi="Times New Roman"/>
          <w:b w:val="false"/>
          <w:i w:val="false"/>
          <w:color w:val="000000"/>
          <w:sz w:val="22"/>
        </w:rPr>
        <w:t>If, in the pharmacist’s professional judgment or following reasonable attempts, oral counseling is not practicable, the pharmacist may utilize an alternative method for providing prescription educational materials to the patient or the patient’s caregiver, including a toll-free mechanism for the patient to contact the pharmacist. “Not practicable” does not include issues relating to pharmacy staffing, prescription volume, or manner of dispensing (by mail or courier).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552.23(4)</w:t>
      </w:r>
      <w:r>
        <w:rPr>
          <w:rFonts w:ascii="Times New Roman" w:hAnsi="Times New Roman"/>
          <w:b w:val="false"/>
          <w:i w:val="false"/>
          <w:color w:val="000000"/>
          <w:sz w:val="22"/>
        </w:rPr>
        <w:t> </w:t>
      </w:r>
      <w:r>
        <w:rPr>
          <w:rFonts w:ascii="Times New Roman" w:hAnsi="Times New Roman"/>
          <w:b w:val="false"/>
          <w:i/>
          <w:color w:val="000000"/>
          <w:sz w:val="22"/>
        </w:rPr>
        <w:t xml:space="preserve">Refusal of counseling. </w:t>
      </w:r>
      <w:r>
        <w:rPr>
          <w:rFonts w:ascii="Times New Roman" w:hAnsi="Times New Roman"/>
          <w:b w:val="false"/>
          <w:i w:val="false"/>
          <w:color w:val="000000"/>
          <w:sz w:val="22"/>
        </w:rPr>
        <w:t>A patient’s refusal for counseling will be documented by the pharmacist.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481—552.24</w:t>
      </w:r>
      <w:r>
        <w:rPr>
          <w:rFonts w:ascii="Times New Roman" w:hAnsi="Times New Roman"/>
          <w:b/>
          <w:i w:val="false"/>
          <w:color w:val="000000"/>
          <w:sz w:val="22"/>
        </w:rPr>
        <w:t xml:space="preserve">(155A) </w:t>
      </w:r>
      <w:r>
        <w:rPr>
          <w:rFonts w:ascii="Times New Roman" w:hAnsi="Times New Roman"/>
          <w:b/>
          <w:i w:val="false"/>
          <w:color w:val="000000"/>
          <w:sz w:val="22"/>
        </w:rPr>
        <w:t xml:space="preserve">Provision of emergency kits. </w:t>
      </w:r>
      <w:r>
        <w:rPr>
          <w:rFonts w:ascii="Times New Roman" w:hAnsi="Times New Roman"/>
          <w:b w:val="false"/>
          <w:i w:val="false"/>
          <w:color w:val="000000"/>
          <w:sz w:val="22"/>
        </w:rPr>
        <w:t>A pharmacy may provide one or more emergency kits to facilities licensed and authorized to administer medications to patients pursuant to established policies and procedures, ensuring that the drugs are stored in a location that is secure from unauthorized access and maintains product integrity. Each emergency kit will be labeled with the name, strength, and quantity of drugs contained in the kit. A pharmacy will maintain documentation of the contents of each kit provided to an authorized facility as well as the expiration dates of all drugs contained in each kit.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481—552.25</w:t>
      </w:r>
      <w:r>
        <w:rPr>
          <w:rFonts w:ascii="Times New Roman" w:hAnsi="Times New Roman"/>
          <w:b/>
          <w:i w:val="false"/>
          <w:color w:val="000000"/>
          <w:sz w:val="22"/>
        </w:rPr>
        <w:t xml:space="preserve">(155A) </w:t>
      </w:r>
      <w:r>
        <w:rPr>
          <w:rFonts w:ascii="Times New Roman" w:hAnsi="Times New Roman"/>
          <w:b/>
          <w:i w:val="false"/>
          <w:color w:val="000000"/>
          <w:sz w:val="22"/>
        </w:rPr>
        <w:t xml:space="preserve">Continuous quality improvement program. </w:t>
      </w:r>
      <w:r>
        <w:rPr>
          <w:rFonts w:ascii="Times New Roman" w:hAnsi="Times New Roman"/>
          <w:b w:val="false"/>
          <w:i w:val="false"/>
          <w:color w:val="000000"/>
          <w:sz w:val="22"/>
        </w:rPr>
        <w:t>Each pharmacy will utilize a continuous quality improvement or similar program to timely detect, identify, evaluate and prevent medication errors.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552.25(1)</w:t>
      </w:r>
      <w:r>
        <w:rPr>
          <w:rFonts w:ascii="Times New Roman" w:hAnsi="Times New Roman"/>
          <w:b w:val="false"/>
          <w:i w:val="false"/>
          <w:color w:val="000000"/>
          <w:sz w:val="22"/>
        </w:rPr>
        <w:t> </w:t>
      </w:r>
      <w:r>
        <w:rPr>
          <w:rFonts w:ascii="Times New Roman" w:hAnsi="Times New Roman"/>
          <w:b w:val="false"/>
          <w:i/>
          <w:color w:val="000000"/>
          <w:sz w:val="22"/>
        </w:rPr>
        <w:t xml:space="preserve">Reportable program events. </w:t>
      </w:r>
      <w:r>
        <w:rPr>
          <w:rFonts w:ascii="Times New Roman" w:hAnsi="Times New Roman"/>
          <w:b w:val="false"/>
          <w:i w:val="false"/>
          <w:color w:val="000000"/>
          <w:sz w:val="22"/>
        </w:rPr>
        <w:t>Medication errors resulting in the incorrect dispensing of a prescribed drug received by or administered to a patient that require documentation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incorrect drug strength or 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drug received by the wrong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Inadequate or incorrect packaging, labeling or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error that results in or has the potential to result in serious patient harm.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552.25(2)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Events will be documented, with the program record to be initiated within three days following the discovery of the event, and the documentation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dates of the event and its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names of individuals involved in the event, the discovery, and the event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root cause of and contributing factors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Remediation to prevent similar future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Review of events with all pharmacy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481—552.26</w:t>
      </w:r>
      <w:r>
        <w:rPr>
          <w:rFonts w:ascii="Times New Roman" w:hAnsi="Times New Roman"/>
          <w:b/>
          <w:i w:val="false"/>
          <w:color w:val="000000"/>
          <w:sz w:val="22"/>
        </w:rPr>
        <w:t xml:space="preserve">(155A) </w:t>
      </w:r>
      <w:r>
        <w:rPr>
          <w:rFonts w:ascii="Times New Roman" w:hAnsi="Times New Roman"/>
          <w:b/>
          <w:i w:val="false"/>
          <w:color w:val="000000"/>
          <w:sz w:val="22"/>
        </w:rPr>
        <w:t xml:space="preserve">Statewide protocols. </w:t>
      </w:r>
      <w:r>
        <w:rPr>
          <w:rFonts w:ascii="Times New Roman" w:hAnsi="Times New Roman"/>
          <w:b w:val="false"/>
          <w:i w:val="false"/>
          <w:color w:val="000000"/>
          <w:sz w:val="22"/>
        </w:rPr>
        <w:t xml:space="preserve">To the extent authorized in Iowa Code section </w:t>
      </w:r>
      <w:hyperlink r:id="rId34">
        <w:r>
          <w:rPr>
            <w:rStyle w:val="Hyperlink"/>
            <w:rFonts w:ascii="Times New Roman" w:hAnsi="Times New Roman"/>
            <w:b w:val="false"/>
            <w:i w:val="false"/>
            <w:color w:val="000000"/>
            <w:sz w:val="22"/>
          </w:rPr>
          <w:t>155A.46</w:t>
        </w:r>
      </w:hyperlink>
      <w:r>
        <w:rPr>
          <w:rFonts w:ascii="Times New Roman" w:hAnsi="Times New Roman"/>
          <w:b w:val="false"/>
          <w:i w:val="false"/>
          <w:color w:val="000000"/>
          <w:sz w:val="22"/>
        </w:rPr>
        <w:t xml:space="preserve">, a pharmacist may, pursuant to statewide protocols developed by the board in consultation with the department of health and human services and available on the board’s website at </w:t>
      </w:r>
      <w:hyperlink r:id="rId35">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order and dispense medications pursuant to the requirements identified in the statewide protocols. For the purpose of this rule, an order constitutes a prescription.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481—552.27</w:t>
      </w:r>
      <w:r>
        <w:rPr>
          <w:rFonts w:ascii="Times New Roman" w:hAnsi="Times New Roman"/>
          <w:b/>
          <w:i w:val="false"/>
          <w:color w:val="000000"/>
          <w:sz w:val="22"/>
        </w:rPr>
        <w:t xml:space="preserve">(155A) </w:t>
      </w:r>
      <w:r>
        <w:rPr>
          <w:rFonts w:ascii="Times New Roman" w:hAnsi="Times New Roman"/>
          <w:b/>
          <w:i w:val="false"/>
          <w:color w:val="000000"/>
          <w:sz w:val="22"/>
        </w:rPr>
        <w:t xml:space="preserve">Collaborative pharmacy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552.27(1)</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 pharmacist or pharmacy may engage in collaborative pharmacy practice under a collaborative pharmacy practice agreement with one or more practitioners who are authorized to independently prescribe, or as established by a health system pharmacy and therapeutics committee, to provide patient care and drug therapy management services to one or more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552.27(2)</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collaborative pharmacy practice agreement will be reviewed and updated as necessary by all parties every two years and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of the parties to the agreement, including the name(s) or category of the pharmacist(s), including registered pharmacist-intern(s) under the supervision of a pharmacist, who are authorized to perform delegated activities under the agreement and the name(s) or category of the practitioner(s) who are delegating activities under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establishment of the delegating practitioner’s scope of practice authorized in the agreement and a description of the permitted activities and decisions to be performed by the pharmacist(s);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protocol, formulary, or clinical guidelines that describe or limit the pharmacist’s authority to perform the patient care or drug therapy management services and, as applicable, the drug name, class or category provided under drug therapy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process to monitor compliance with the agreement and clinical outcomes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provision addressing termination of the agreement;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signatures of the parties to the agreement and dates of signing unless established by a health system pharmacy and therapeutics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agreement will be maintained by the pharmacist(s) or pharmacy and be available upon request 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engaging in activities provided by the agreement, each pharmacist will document attestation that the pharmacist has read and understands the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481—552.28</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Pharmacy pilot or demonstration research projects. </w:t>
      </w:r>
      <w:r>
        <w:rPr>
          <w:rFonts w:ascii="Times New Roman" w:hAnsi="Times New Roman"/>
          <w:b w:val="false"/>
          <w:i w:val="false"/>
          <w:color w:val="000000"/>
          <w:sz w:val="22"/>
        </w:rPr>
        <w:t xml:space="preserve">In accordance with Iowa Code section </w:t>
      </w:r>
      <w:hyperlink r:id="rId36">
        <w:r>
          <w:rPr>
            <w:rStyle w:val="Hyperlink"/>
            <w:rFonts w:ascii="Times New Roman" w:hAnsi="Times New Roman"/>
            <w:b w:val="false"/>
            <w:i w:val="false"/>
            <w:color w:val="000000"/>
            <w:sz w:val="22"/>
          </w:rPr>
          <w:t>155A.47</w:t>
        </w:r>
      </w:hyperlink>
      <w:r>
        <w:rPr>
          <w:rFonts w:ascii="Times New Roman" w:hAnsi="Times New Roman"/>
          <w:b w:val="false"/>
          <w:i w:val="false"/>
          <w:color w:val="000000"/>
          <w:sz w:val="22"/>
        </w:rPr>
        <w:t>, a pharmacy may submit a pilot or demonstration research project (“pilot project”) to the board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552.28(1)</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A petition for a pilot project, including for renewal of a previously approved project,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email address, and pharmacist license number of each pharmacist responsible for overseeing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each specific location, including the pharmacy license number if the location is a pharmacy where the project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detailed summary of the pilot project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goals, hypothesis, and objective(s) of the pilot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project, including background information or a literature review to support the project, and how it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time frame for the project, including the start date and study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rule(s) to be waived for the project and a petition for waiver of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to be used during the project to ensure that public health and safety are not compromised.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552.28(2)</w:t>
      </w:r>
      <w:r>
        <w:rPr>
          <w:rFonts w:ascii="Times New Roman" w:hAnsi="Times New Roman"/>
          <w:b w:val="false"/>
          <w:i w:val="false"/>
          <w:color w:val="000000"/>
          <w:sz w:val="22"/>
        </w:rPr>
        <w:t> </w:t>
      </w:r>
      <w:r>
        <w:rPr>
          <w:rFonts w:ascii="Times New Roman" w:hAnsi="Times New Roman"/>
          <w:b w:val="false"/>
          <w:i/>
          <w:color w:val="000000"/>
          <w:sz w:val="22"/>
        </w:rPr>
        <w:t xml:space="preserve">Board decision. </w:t>
      </w:r>
      <w:r>
        <w:rPr>
          <w:rFonts w:ascii="Times New Roman" w:hAnsi="Times New Roman"/>
          <w:b w:val="false"/>
          <w:i w:val="false"/>
          <w:color w:val="000000"/>
          <w:sz w:val="22"/>
        </w:rPr>
        <w:t>Upon review of a petition for a pilot project, the board may approve or deny a petition. Project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 be specific for the project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Will identify a time period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May include conditions to be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552.28(3)</w:t>
      </w:r>
      <w:r>
        <w:rPr>
          <w:rFonts w:ascii="Times New Roman" w:hAnsi="Times New Roman"/>
          <w:b w:val="false"/>
          <w:i w:val="false"/>
          <w:color w:val="000000"/>
          <w:sz w:val="22"/>
        </w:rPr>
        <w:t> </w:t>
      </w:r>
      <w:r>
        <w:rPr>
          <w:rFonts w:ascii="Times New Roman" w:hAnsi="Times New Roman"/>
          <w:b w:val="false"/>
          <w:i/>
          <w:color w:val="000000"/>
          <w:sz w:val="22"/>
        </w:rPr>
        <w:t xml:space="preserve">Final project report. </w:t>
      </w:r>
      <w:r>
        <w:rPr>
          <w:rFonts w:ascii="Times New Roman" w:hAnsi="Times New Roman"/>
          <w:b w:val="false"/>
          <w:i w:val="false"/>
          <w:color w:val="000000"/>
          <w:sz w:val="22"/>
        </w:rPr>
        <w:t>A final project report will include a written summary of the result(s) of the project and the conclusion(s) drawn from the result(s), which will be submitted to the board within three months of the conclusion or termination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481—552.29</w:t>
      </w:r>
      <w:r>
        <w:rPr>
          <w:rFonts w:ascii="Times New Roman" w:hAnsi="Times New Roman"/>
          <w:b/>
          <w:i w:val="false"/>
          <w:color w:val="000000"/>
          <w:sz w:val="22"/>
        </w:rPr>
        <w:t xml:space="preserve">(155A) </w:t>
      </w:r>
      <w:r>
        <w:rPr>
          <w:rFonts w:ascii="Times New Roman" w:hAnsi="Times New Roman"/>
          <w:b/>
          <w:i w:val="false"/>
          <w:color w:val="000000"/>
          <w:sz w:val="22"/>
        </w:rPr>
        <w:t xml:space="preserve">Nuclear pharmacy.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552.29(1)</w:t>
      </w:r>
      <w:r>
        <w:rPr>
          <w:rFonts w:ascii="Times New Roman" w:hAnsi="Times New Roman"/>
          <w:b w:val="false"/>
          <w:i w:val="false"/>
          <w:color w:val="000000"/>
          <w:sz w:val="22"/>
        </w:rPr>
        <w:t> </w:t>
      </w:r>
      <w:r>
        <w:rPr>
          <w:rFonts w:ascii="Times New Roman" w:hAnsi="Times New Roman"/>
          <w:b w:val="false"/>
          <w:i/>
          <w:color w:val="000000"/>
          <w:sz w:val="22"/>
        </w:rPr>
        <w:t xml:space="preserve">Personnel and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authorized nuclear pharmacist will meet all applicable requirements of the United States Nuclear Regulatory Commission pursuant to 10 CFR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rule </w:t>
      </w:r>
      <w:hyperlink r:id="rId37">
        <w:r>
          <w:rPr>
            <w:rStyle w:val="Hyperlink"/>
            <w:rFonts w:ascii="Times New Roman" w:hAnsi="Times New Roman"/>
            <w:b w:val="false"/>
            <w:i w:val="false"/>
            <w:color w:val="000000"/>
            <w:sz w:val="22"/>
          </w:rPr>
          <w:t>481—552.9</w:t>
        </w:r>
      </w:hyperlink>
      <w:r>
        <w:rPr>
          <w:rFonts w:ascii="Times New Roman" w:hAnsi="Times New Roman"/>
          <w:b w:val="false"/>
          <w:i w:val="false"/>
          <w:color w:val="000000"/>
          <w:sz w:val="22"/>
        </w:rPr>
        <w:t>(155A), pharmacy personnel registered as a pharmacy support person trained in nuclear pharmacy operations may engage in technical functions as delegated by an authorized nuclear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552.29(2)</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An authorized nuclear pharmacist is responsible for all operations of the pharmacy and, except in emergency situations, will be on site during the pharmacy’s hours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552.29(3)</w:t>
      </w:r>
      <w:r>
        <w:rPr>
          <w:rFonts w:ascii="Times New Roman" w:hAnsi="Times New Roman"/>
          <w:b w:val="false"/>
          <w:i w:val="false"/>
          <w:color w:val="000000"/>
          <w:sz w:val="22"/>
        </w:rPr>
        <w:t> </w:t>
      </w:r>
      <w:r>
        <w:rPr>
          <w:rFonts w:ascii="Times New Roman" w:hAnsi="Times New Roman"/>
          <w:b w:val="false"/>
          <w:i/>
          <w:color w:val="000000"/>
          <w:sz w:val="22"/>
        </w:rPr>
        <w:t xml:space="preserve">Preparation standards. </w:t>
      </w:r>
      <w:r>
        <w:rPr>
          <w:rFonts w:ascii="Times New Roman" w:hAnsi="Times New Roman"/>
          <w:b w:val="false"/>
          <w:i w:val="false"/>
          <w:color w:val="000000"/>
          <w:sz w:val="22"/>
        </w:rPr>
        <w:t>Radiopharmaceuticals will be prepared in accordance with the standards identified in USP General Chapter 825 (2020). Compounded radiopharmaceuticals will be prepared in accordance with the standards identified in USP Chapter 795 (2023) for nonsterile preparations or USP Chapter 797 (2023) for sterile preparations,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481—552.30</w:t>
      </w:r>
      <w:r>
        <w:rPr>
          <w:rFonts w:ascii="Times New Roman" w:hAnsi="Times New Roman"/>
          <w:b/>
          <w:i w:val="false"/>
          <w:color w:val="000000"/>
          <w:sz w:val="22"/>
        </w:rPr>
        <w:t xml:space="preserve">(155A)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552.30(1)</w:t>
      </w:r>
      <w:r>
        <w:rPr>
          <w:rFonts w:ascii="Times New Roman" w:hAnsi="Times New Roman"/>
          <w:b w:val="false"/>
          <w:i w:val="false"/>
          <w:color w:val="000000"/>
          <w:sz w:val="22"/>
        </w:rPr>
        <w:t> </w:t>
      </w:r>
      <w:r>
        <w:rPr>
          <w:rFonts w:ascii="Times New Roman" w:hAnsi="Times New Roman"/>
          <w:b w:val="false"/>
          <w:i/>
          <w:color w:val="000000"/>
          <w:sz w:val="22"/>
        </w:rPr>
        <w:t xml:space="preserve">Types of records. </w:t>
      </w:r>
      <w:r>
        <w:rPr>
          <w:rFonts w:ascii="Times New Roman" w:hAnsi="Times New Roman"/>
          <w:b w:val="false"/>
          <w:i w:val="false"/>
          <w:color w:val="000000"/>
          <w:sz w:val="22"/>
        </w:rPr>
        <w:t>Each pharmacy will maintain the following records, if applicable to the pharmacy’s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records, including demographic information, prescription or medication order information and all information needed to conduct drug utilization review pursuant to rule </w:t>
      </w:r>
      <w:hyperlink r:id="rId38">
        <w:r>
          <w:rPr>
            <w:rStyle w:val="Hyperlink"/>
            <w:rFonts w:ascii="Times New Roman" w:hAnsi="Times New Roman"/>
            <w:b w:val="false"/>
            <w:i w:val="false"/>
            <w:color w:val="000000"/>
            <w:sz w:val="22"/>
          </w:rPr>
          <w:t>481—552.15</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Prescriber records, including demographic and prescription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Prescription or medication order records, including the unique identification number assigned, information about each fill including product NDC, and identification of the individuals(s) responsible for prescription preparation and product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Prescription drug inventory records, including transaction records for the receipt and distribution of 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the current license or registration of each pharmacy staff member working in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Documentation of the initials or unique credentials used in pharmacy records and systems for each pharmacy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Documentation of temporary pharmacy staffing, including the individual’s name, license or registration number, and unique credentials used in pharmacy records and systems; the date worked; and the shift worked.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Documentation of pharmacy personnel training for delegated functions within the individual’s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552.30(2)</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Records will be maintained in a secure fashion, ensuring that the records protect patient confidentiality and prevent unauthorized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All records will be retained for at least two years from the date of the last activity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When not prohibited by federal law or regulation, records may be maintained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 an alternate site in compliance with paragraph </w:t>
      </w:r>
      <w:hyperlink r:id="rId39">
        <w:r>
          <w:rPr>
            <w:rStyle w:val="Hyperlink"/>
            <w:rFonts w:ascii="Times New Roman" w:hAnsi="Times New Roman"/>
            <w:b w:val="false"/>
            <w:i w:val="false"/>
            <w:color w:val="000000"/>
            <w:sz w:val="22"/>
          </w:rPr>
          <w:t>552.30(2)</w:t>
        </w:r>
      </w:hyperlink>
      <w:r>
        <w:rPr>
          <w:rFonts w:ascii="Times New Roman" w:hAnsi="Times New Roman"/>
          <w:b w:val="false"/>
          <w:i/>
          <w:color w:val="000000"/>
          <w:sz w:val="22"/>
        </w:rPr>
        <w:t>“a”</w:t>
      </w:r>
      <w:r>
        <w:rPr>
          <w:rFonts w:ascii="Times New Roman" w:hAnsi="Times New Roman"/>
          <w:b w:val="false"/>
          <w:i w:val="false"/>
          <w:color w:val="000000"/>
          <w:sz w:val="22"/>
        </w:rPr>
        <w:t xml:space="preserve"> if a legible electronic copy is immediately available for inspection and copying by the board or its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Via legible electronic copy if immediately available for inspection and copying by the board or its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552.30(3)</w:t>
      </w:r>
      <w:r>
        <w:rPr>
          <w:rFonts w:ascii="Times New Roman" w:hAnsi="Times New Roman"/>
          <w:b w:val="false"/>
          <w:i w:val="false"/>
          <w:color w:val="000000"/>
          <w:sz w:val="22"/>
        </w:rPr>
        <w:t> </w:t>
      </w:r>
      <w:r>
        <w:rPr>
          <w:rFonts w:ascii="Times New Roman" w:hAnsi="Times New Roman"/>
          <w:b w:val="false"/>
          <w:i/>
          <w:color w:val="000000"/>
          <w:sz w:val="22"/>
        </w:rPr>
        <w:t xml:space="preserve">Provision of records. </w:t>
      </w:r>
      <w:r>
        <w:rPr>
          <w:rFonts w:ascii="Times New Roman" w:hAnsi="Times New Roman"/>
          <w:b w:val="false"/>
          <w:i w:val="false"/>
          <w:color w:val="000000"/>
          <w:sz w:val="22"/>
        </w:rPr>
        <w:t>Records will be provided to the board or its authorized agent within three business days of a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9338C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0">
        <w:r>
          <w:rPr>
            <w:rStyle w:val="Hyperlink"/>
            <w:rFonts w:ascii="Times New Roman" w:hAnsi="Times New Roman"/>
            <w:b w:val="false"/>
            <w:i w:val="false"/>
            <w:color w:val="000000"/>
            <w:sz w:val="22"/>
          </w:rPr>
          <w:t>124.302</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147.76</w:t>
        </w:r>
      </w:hyperlink>
      <w:r>
        <w:rPr>
          <w:rFonts w:ascii="Times New Roman" w:hAnsi="Times New Roman"/>
          <w:b w:val="false"/>
          <w:i w:val="false"/>
          <w:color w:val="000000"/>
          <w:sz w:val="22"/>
        </w:rPr>
        <w:t xml:space="preserve"> and chapter </w:t>
      </w:r>
      <w:hyperlink r:id="rId42">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9338C</w:t>
      </w:r>
      <w:r>
        <w:rPr>
          <w:rFonts w:ascii="Times New Roman" w:hAnsi="Times New Roman"/>
          <w:b w:val="false"/>
          <w:i w:val="false"/>
          <w:color w:val="000000"/>
          <w:sz w:val="21"/>
        </w:rPr>
        <w:t xml:space="preserve"> (Notice ARC 8417C, IAB 11/27/24; </w:t>
      </w:r>
      <w:r>
        <w:rPr>
          <w:rFonts w:ascii="Times New Roman" w:hAnsi="Times New Roman"/>
          <w:b w:val="false"/>
          <w:i w:val="false"/>
          <w:color w:val="000000"/>
          <w:sz w:val="21"/>
        </w:rPr>
        <w:t>Amended Notice ARC 8978C, IAB 3/5/25)</w:t>
      </w:r>
      <w:r>
        <w:rPr>
          <w:rFonts w:ascii="Times New Roman" w:hAnsi="Times New Roman"/>
          <w:b w:val="false"/>
          <w:i w:val="false"/>
          <w:color w:val="000000"/>
          <w:sz w:val="21"/>
        </w:rPr>
        <w:t>, IAB 6/11/25, effective 7/16/25]</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 xml:space="preserve">July 16, 2025, effective date of Chapter 552 </w:t>
      </w:r>
      <w:r>
        <w:rPr>
          <w:rFonts w:ascii="Times New Roman" w:hAnsi="Times New Roman"/>
          <w:b/>
          <w:i w:val="false"/>
          <w:color w:val="000000"/>
          <w:sz w:val="22"/>
        </w:rPr>
        <w:t>[ARC 9338C]</w:t>
      </w:r>
      <w:r>
        <w:rPr>
          <w:rFonts w:ascii="Times New Roman" w:hAnsi="Times New Roman"/>
          <w:b w:val="false"/>
          <w:i w:val="false"/>
          <w:color w:val="000000"/>
          <w:sz w:val="22"/>
        </w:rPr>
        <w:t xml:space="preserve"> delayed 70 days by the Administrative Rules Review Committee at its meeting held July 14, 2025; delay lifted at the meeting held August 11, 2025.</w:t>
      </w:r>
    </w:p>
    <w:sectPr>
      <w:footerReference r:id="rId4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ac/chapter/481.551.pdf" Type="http://schemas.openxmlformats.org/officeDocument/2006/relationships/hyperlink" Id="rId6"/>
    <Relationship TargetMode="External" Target="https://www.legis.iowa.gov/docs/iac/rule/481.552.3.pdf" Type="http://schemas.openxmlformats.org/officeDocument/2006/relationships/hyperlink" Id="rId7"/>
    <Relationship TargetMode="External" Target="https://www.legis.iowa.gov/docs/iac/rule/481.552.8.pdf" Type="http://schemas.openxmlformats.org/officeDocument/2006/relationships/hyperlink" Id="rId8"/>
    <Relationship TargetMode="External" Target="https://www.legis.iowa.gov/docs/iac/rule/481.552.8.pdf" Type="http://schemas.openxmlformats.org/officeDocument/2006/relationships/hyperlink" Id="rId9"/>
    <Relationship TargetMode="External" Target="https://www.legis.iowa.gov/docs/ico/chapter/135.185.pdf" Type="http://schemas.openxmlformats.org/officeDocument/2006/relationships/hyperlink" Id="rId10"/>
    <Relationship TargetMode="External" Target="https://www.legis.iowa.gov/docs/ico/chapter/135.190.pdf" Type="http://schemas.openxmlformats.org/officeDocument/2006/relationships/hyperlink" Id="rId11"/>
    <Relationship TargetMode="External" Target="https://www.legis.iowa.gov/docs/ico/chapter/139A.41.pdf" Type="http://schemas.openxmlformats.org/officeDocument/2006/relationships/hyperlink" Id="rId12"/>
    <Relationship TargetMode="External" Target="https://www.legis.iowa.gov/docs/ico/chapter/147A.18.pdf" Type="http://schemas.openxmlformats.org/officeDocument/2006/relationships/hyperlink" Id="rId13"/>
    <Relationship TargetMode="External" Target="https://www.legis.iowa.gov/docs/ico/chapter/280.16A.pdf" Type="http://schemas.openxmlformats.org/officeDocument/2006/relationships/hyperlink" Id="rId14"/>
    <Relationship TargetMode="External" Target="https://www.legis.iowa.gov/docs/ico/chapter/124.308.pdf" Type="http://schemas.openxmlformats.org/officeDocument/2006/relationships/hyperlink" Id="rId15"/>
    <Relationship TargetMode="External" Target="https://www.legis.iowa.gov/docs/ico/chapter/155A.27.pdf" Type="http://schemas.openxmlformats.org/officeDocument/2006/relationships/hyperlink" Id="rId16"/>
    <Relationship TargetMode="External" Target="https://www.legis.iowa.gov/docs/ico/chapter/280.16A.pdf" Type="http://schemas.openxmlformats.org/officeDocument/2006/relationships/hyperlink" Id="rId17"/>
    <Relationship TargetMode="External" Target="https://www.legis.iowa.gov/docs/ico/chapter/124.308.pdf" Type="http://schemas.openxmlformats.org/officeDocument/2006/relationships/hyperlink" Id="rId18"/>
    <Relationship TargetMode="External" Target="https://www.legis.iowa.gov/docs/ico/chapter/155A.27.pdf" Type="http://schemas.openxmlformats.org/officeDocument/2006/relationships/hyperlink" Id="rId19"/>
    <Relationship TargetMode="External" Target="https://www.legis.iowa.gov/docs/ico/chapter/135.185.pdf" Type="http://schemas.openxmlformats.org/officeDocument/2006/relationships/hyperlink" Id="rId20"/>
    <Relationship TargetMode="External" Target="https://www.legis.iowa.gov/docs/ico/chapter/135.190.pdf" Type="http://schemas.openxmlformats.org/officeDocument/2006/relationships/hyperlink" Id="rId21"/>
    <Relationship TargetMode="External" Target="https://www.legis.iowa.gov/docs/ico/chapter/139A.41.pdf" Type="http://schemas.openxmlformats.org/officeDocument/2006/relationships/hyperlink" Id="rId22"/>
    <Relationship TargetMode="External" Target="https://www.legis.iowa.gov/docs/ico/chapter/147A.18.pdf" Type="http://schemas.openxmlformats.org/officeDocument/2006/relationships/hyperlink" Id="rId23"/>
    <Relationship TargetMode="External" Target="https://www.legis.iowa.gov/docs/ico/chapter/280.16A.pdf" Type="http://schemas.openxmlformats.org/officeDocument/2006/relationships/hyperlink" Id="rId24"/>
    <Relationship TargetMode="External" Target="https://www.legis.iowa.gov/docs/iac/rule/481.553.6.pdf" Type="http://schemas.openxmlformats.org/officeDocument/2006/relationships/hyperlink" Id="rId25"/>
    <Relationship TargetMode="External" Target="https://www.legis.iowa.gov/docs/iac/rule/481.552.18.pdf" Type="http://schemas.openxmlformats.org/officeDocument/2006/relationships/hyperlink" Id="rId26"/>
    <Relationship TargetMode="External" Target="https://www.legis.iowa.gov/docs/iac/rule/481.552.21.pdf" Type="http://schemas.openxmlformats.org/officeDocument/2006/relationships/hyperlink" Id="rId27"/>
    <Relationship TargetMode="External" Target="https://www.legis.iowa.gov/docs/iac/rule/481.552.20.pdf" Type="http://schemas.openxmlformats.org/officeDocument/2006/relationships/hyperlink" Id="rId28"/>
    <Relationship TargetMode="External" Target="https://www.legis.iowa.gov/docs/iac/rule/481.552.20.pdf" Type="http://schemas.openxmlformats.org/officeDocument/2006/relationships/hyperlink" Id="rId29"/>
    <Relationship TargetMode="External" Target="https://www.legis.iowa.gov/docs/iac/rule/481.552.20.pdf" Type="http://schemas.openxmlformats.org/officeDocument/2006/relationships/hyperlink" Id="rId30"/>
    <Relationship TargetMode="External" Target="https://www.legis.iowa.gov/docs/iac/rule/481.552.21.pdf" Type="http://schemas.openxmlformats.org/officeDocument/2006/relationships/hyperlink" Id="rId31"/>
    <Relationship TargetMode="External" Target="https://www.legis.iowa.gov/docs/iac/rule/481.552.21.pdf" Type="http://schemas.openxmlformats.org/officeDocument/2006/relationships/hyperlink" Id="rId32"/>
    <Relationship TargetMode="External" Target="https://www.legis.iowa.gov/docs/iac/rule/481.552.21.pdf" Type="http://schemas.openxmlformats.org/officeDocument/2006/relationships/hyperlink" Id="rId33"/>
    <Relationship TargetMode="External" Target="https://www.legis.iowa.gov/docs/ico/chapter/155A.46.pdf" Type="http://schemas.openxmlformats.org/officeDocument/2006/relationships/hyperlink" Id="rId34"/>
    <Relationship TargetMode="External" Target="http://dial.iowa.gov" Type="http://schemas.openxmlformats.org/officeDocument/2006/relationships/hyperlink" Id="rId35"/>
    <Relationship TargetMode="External" Target="https://www.legis.iowa.gov/docs/ico/chapter/155A.47.pdf" Type="http://schemas.openxmlformats.org/officeDocument/2006/relationships/hyperlink" Id="rId36"/>
    <Relationship TargetMode="External" Target="https://www.legis.iowa.gov/docs/iac/rule/481.552.9.pdf" Type="http://schemas.openxmlformats.org/officeDocument/2006/relationships/hyperlink" Id="rId37"/>
    <Relationship TargetMode="External" Target="https://www.legis.iowa.gov/docs/iac/rule/481.552.15.pdf" Type="http://schemas.openxmlformats.org/officeDocument/2006/relationships/hyperlink" Id="rId38"/>
    <Relationship TargetMode="External" Target="https://www.legis.iowa.gov/docs/iac/rule/481.552.30.pdf" Type="http://schemas.openxmlformats.org/officeDocument/2006/relationships/hyperlink" Id="rId39"/>
    <Relationship TargetMode="External" Target="https://www.legis.iowa.gov/docs/ico/chapter/124.302.pdf" Type="http://schemas.openxmlformats.org/officeDocument/2006/relationships/hyperlink" Id="rId40"/>
    <Relationship TargetMode="External" Target="https://www.legis.iowa.gov/docs/ico/chapter/147.76.pdf" Type="http://schemas.openxmlformats.org/officeDocument/2006/relationships/hyperlink" Id="rId41"/>
    <Relationship TargetMode="External" Target="https://www.legis.iowa.gov/docs/ico/chapter/155A.pdf" Type="http://schemas.openxmlformats.org/officeDocument/2006/relationships/hyperlink" Id="rId42"/>
    <Relationship Target="footer.xml" Type="http://schemas.openxmlformats.org/officeDocument/2006/relationships/footer"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