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52</w:t>
      </w:r>
    </w:p>
    <w:p>
      <w:pPr>
        <w:spacing w:before="0" w:after="0"/>
        <w:ind w:left="120"/>
        <w:jc w:val="center"/>
      </w:pPr>
      <w:r>
        <w:rPr>
          <w:rFonts w:ascii="Times New Roman" w:hAnsi="Times New Roman"/>
          <w:b w:val="false"/>
          <w:i w:val="false"/>
          <w:color w:val="000000"/>
          <w:sz w:val="21"/>
        </w:rPr>
        <w:t>DEPENDENT ADULT ABUSE IN FACILITIES AND PROGRAMS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6/18/30</w:t>
      </w:r>
    </w:p>
    <w:p>
      <w:pPr>
        <w:spacing w:before="0" w:after="0"/>
        <w:ind w:left="120"/>
        <w:jc w:val="both"/>
      </w:pPr>
      <w:r>
        <w:rPr>
          <w:rFonts w:ascii="Times New Roman" w:hAnsi="Times New Roman"/>
          <w:b/>
          <w:i w:val="false"/>
          <w:color w:val="000000"/>
          <w:sz w:val="22"/>
        </w:rPr>
        <w:t>481—52.1</w:t>
      </w:r>
      <w:r>
        <w:rPr>
          <w:rFonts w:ascii="Times New Roman" w:hAnsi="Times New Roman"/>
          <w:b/>
          <w:i w:val="false"/>
          <w:color w:val="000000"/>
          <w:sz w:val="22"/>
        </w:rPr>
        <w:t xml:space="preserve">(235E)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set forth in Iowa Code section </w:t>
      </w:r>
      <w:hyperlink r:id="rId5">
        <w:r>
          <w:rPr>
            <w:rStyle w:val="Hyperlink"/>
            <w:rFonts w:ascii="Times New Roman" w:hAnsi="Times New Roman"/>
            <w:b w:val="false"/>
            <w:i w:val="false"/>
            <w:color w:val="000000"/>
            <w:sz w:val="22"/>
          </w:rPr>
          <w:t>235E.1</w:t>
        </w:r>
      </w:hyperlink>
      <w:r>
        <w:rPr>
          <w:rFonts w:ascii="Times New Roman" w:hAnsi="Times New Roman"/>
          <w:b w:val="false"/>
          <w:i w:val="false"/>
          <w:color w:val="000000"/>
          <w:sz w:val="22"/>
        </w:rPr>
        <w:t xml:space="preserve"> are incorporated herein by reference. For purposes of this chapter, unless the context otherwise requires,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“Caretaker”</w:t>
      </w:r>
      <w:r>
        <w:rPr>
          <w:rFonts w:ascii="Times New Roman" w:hAnsi="Times New Roman"/>
          <w:b w:val="false"/>
          <w:i w:val="false"/>
          <w:color w:val="000000"/>
          <w:sz w:val="22"/>
        </w:rPr>
        <w:t> </w:t>
      </w:r>
      <w:r>
        <w:rPr>
          <w:rFonts w:ascii="Times New Roman" w:hAnsi="Times New Roman"/>
          <w:b w:val="false"/>
          <w:i w:val="false"/>
          <w:color w:val="000000"/>
          <w:sz w:val="22"/>
        </w:rPr>
        <w:t>means a person who is a staff member of a facility or program who provides care, protection, or services to a dependent adult voluntarily, by contract, through employment, or by order of the court. For the purpose of an allegation of exploitation, if the caretaker-dependent adult relationship started when a staff member was employed in the facility, the staff member may be considered a caretaker after employment is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“Dependent adult abuse”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of the following as a result of the willful misconduct or gross negligence or reckless act or omission of a caretaker, taking into account the totality of the circumstances: physical injury, unreasonable confinement, unreasonable punishment, assault, sexual offense, sexual exploitation, exploitation, neglect, or personal degradation.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“Gross negligence”</w:t>
      </w:r>
      <w:r>
        <w:rPr>
          <w:rFonts w:ascii="Times New Roman" w:hAnsi="Times New Roman"/>
          <w:b w:val="false"/>
          <w:i w:val="false"/>
          <w:color w:val="000000"/>
          <w:sz w:val="22"/>
        </w:rPr>
        <w:t> </w:t>
      </w:r>
      <w:r>
        <w:rPr>
          <w:rFonts w:ascii="Times New Roman" w:hAnsi="Times New Roman"/>
          <w:b w:val="false"/>
          <w:i w:val="false"/>
          <w:color w:val="000000"/>
          <w:sz w:val="22"/>
        </w:rPr>
        <w:t>means an act or omission that signifies more than ordinary inadvertence or inattention, but less than conscious indifference to consequences; and, in other words, means an extreme departure from the ordinary standard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“Immediately,”</w:t>
      </w:r>
      <w:r>
        <w:rPr>
          <w:rFonts w:ascii="Times New Roman" w:hAnsi="Times New Roman"/>
          <w:b w:val="false"/>
          <w:i w:val="false"/>
          <w:color w:val="000000"/>
          <w:sz w:val="22"/>
        </w:rPr>
        <w:t> </w:t>
      </w:r>
      <w:r>
        <w:rPr>
          <w:rFonts w:ascii="Times New Roman" w:hAnsi="Times New Roman"/>
          <w:b w:val="false"/>
          <w:i w:val="false"/>
          <w:color w:val="000000"/>
          <w:sz w:val="22"/>
        </w:rPr>
        <w:t>for purposes of mandatory reporters’ reporting of suspected dependent adult abuse, means within 24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“Inspector”</w:t>
      </w:r>
      <w:r>
        <w:rPr>
          <w:rFonts w:ascii="Times New Roman" w:hAnsi="Times New Roman"/>
          <w:b w:val="false"/>
          <w:i w:val="false"/>
          <w:color w:val="000000"/>
          <w:sz w:val="22"/>
        </w:rPr>
        <w:t> </w:t>
      </w:r>
      <w:r>
        <w:rPr>
          <w:rFonts w:ascii="Times New Roman" w:hAnsi="Times New Roman"/>
          <w:b w:val="false"/>
          <w:i w:val="false"/>
          <w:color w:val="000000"/>
          <w:sz w:val="22"/>
        </w:rPr>
        <w:t>means a surveyor or investigator with the department or any department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“Misappropriates”</w:t>
      </w:r>
      <w:r>
        <w:rPr>
          <w:rFonts w:ascii="Times New Roman" w:hAnsi="Times New Roman"/>
          <w:b w:val="false"/>
          <w:i w:val="false"/>
          <w:color w:val="000000"/>
          <w:sz w:val="22"/>
        </w:rPr>
        <w:t> </w:t>
      </w:r>
      <w:r>
        <w:rPr>
          <w:rFonts w:ascii="Times New Roman" w:hAnsi="Times New Roman"/>
          <w:b w:val="false"/>
          <w:i w:val="false"/>
          <w:color w:val="000000"/>
          <w:sz w:val="22"/>
        </w:rPr>
        <w:t>means taking unfair advantage of or wrongfully or dishonestly exercising control over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“Physical injury”</w:t>
      </w:r>
      <w:r>
        <w:rPr>
          <w:rFonts w:ascii="Times New Roman" w:hAnsi="Times New Roman"/>
          <w:b w:val="false"/>
          <w:i w:val="false"/>
          <w:color w:val="000000"/>
          <w:sz w:val="22"/>
        </w:rPr>
        <w:t> </w:t>
      </w:r>
      <w:r>
        <w:rPr>
          <w:rFonts w:ascii="Times New Roman" w:hAnsi="Times New Roman"/>
          <w:b w:val="false"/>
          <w:i w:val="false"/>
          <w:color w:val="000000"/>
          <w:sz w:val="22"/>
        </w:rPr>
        <w:t>means a physical injury, or injury that is at a variance with the history given of the injury, which involves a breach of skill or care or learning ordinarily exercised by a caretaker in similar circumstances. “Physical injury” includes damage to any bodily tissue to the extent that the tissue must undergo a healing process in order to be restored to a sound and healthy condition, damage to any bodily tissue to the extent that the tissue cannot be restored to a sound and healthy condition, or damage to any bodily tissue that results in the death of the person who has sustained the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“Registry”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central registry for dependent adult abuse information established in Iowa Code section </w:t>
      </w:r>
      <w:hyperlink r:id="rId6">
        <w:r>
          <w:rPr>
            <w:rStyle w:val="Hyperlink"/>
            <w:rFonts w:ascii="Times New Roman" w:hAnsi="Times New Roman"/>
            <w:b w:val="false"/>
            <w:i w:val="false"/>
            <w:color w:val="000000"/>
            <w:sz w:val="22"/>
          </w:rPr>
          <w:t>235B.5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“Report”</w:t>
      </w:r>
      <w:r>
        <w:rPr>
          <w:rFonts w:ascii="Times New Roman" w:hAnsi="Times New Roman"/>
          <w:b w:val="false"/>
          <w:i w:val="false"/>
          <w:color w:val="000000"/>
          <w:sz w:val="22"/>
        </w:rPr>
        <w:t> </w:t>
      </w:r>
      <w:r>
        <w:rPr>
          <w:rFonts w:ascii="Times New Roman" w:hAnsi="Times New Roman"/>
          <w:b w:val="false"/>
          <w:i w:val="false"/>
          <w:color w:val="000000"/>
          <w:sz w:val="22"/>
        </w:rPr>
        <w:t>means a verbal or written statement, made to the department, that alleges that dependent adult abuse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resident of a health care facility as defined in Iowa Code chapter </w:t>
      </w:r>
      <w:hyperlink r:id="rId7">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xml:space="preserve">, a patient in a hospital as defined in Iowa Code chapter </w:t>
      </w:r>
      <w:hyperlink r:id="rId8">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 xml:space="preserve">, a tenant of an assisted living program as defined in Iowa Code chapter </w:t>
      </w:r>
      <w:hyperlink r:id="rId9">
        <w:r>
          <w:rPr>
            <w:rStyle w:val="Hyperlink"/>
            <w:rFonts w:ascii="Times New Roman" w:hAnsi="Times New Roman"/>
            <w:b w:val="false"/>
            <w:i w:val="false"/>
            <w:color w:val="000000"/>
            <w:sz w:val="22"/>
          </w:rPr>
          <w:t>231C</w:t>
        </w:r>
      </w:hyperlink>
      <w:r>
        <w:rPr>
          <w:rFonts w:ascii="Times New Roman" w:hAnsi="Times New Roman"/>
          <w:b w:val="false"/>
          <w:i w:val="false"/>
          <w:color w:val="000000"/>
          <w:sz w:val="22"/>
        </w:rPr>
        <w:t xml:space="preserve">, a tenant in an elder group home as defined in Iowa Code chapter </w:t>
      </w:r>
      <w:hyperlink r:id="rId10">
        <w:r>
          <w:rPr>
            <w:rStyle w:val="Hyperlink"/>
            <w:rFonts w:ascii="Times New Roman" w:hAnsi="Times New Roman"/>
            <w:b w:val="false"/>
            <w:i w:val="false"/>
            <w:color w:val="000000"/>
            <w:sz w:val="22"/>
          </w:rPr>
          <w:t>231B</w:t>
        </w:r>
      </w:hyperlink>
      <w:r>
        <w:rPr>
          <w:rFonts w:ascii="Times New Roman" w:hAnsi="Times New Roman"/>
          <w:b w:val="false"/>
          <w:i w:val="false"/>
          <w:color w:val="000000"/>
          <w:sz w:val="22"/>
        </w:rPr>
        <w:t xml:space="preserve">, or a participant in an adult day services program as defined in Iowa Code chapter </w:t>
      </w:r>
      <w:hyperlink r:id="rId11">
        <w:r>
          <w:rPr>
            <w:rStyle w:val="Hyperlink"/>
            <w:rFonts w:ascii="Times New Roman" w:hAnsi="Times New Roman"/>
            <w:b w:val="false"/>
            <w:i w:val="false"/>
            <w:color w:val="000000"/>
            <w:sz w:val="22"/>
          </w:rPr>
          <w:t>231D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“Sexual exploitation”</w:t>
      </w:r>
      <w:r>
        <w:rPr>
          <w:rFonts w:ascii="Times New Roman" w:hAnsi="Times New Roman"/>
          <w:b w:val="false"/>
          <w:i w:val="false"/>
          <w:color w:val="000000"/>
          <w:sz w:val="22"/>
        </w:rPr>
        <w:t> </w:t>
      </w:r>
      <w:r>
        <w:rPr>
          <w:rFonts w:ascii="Times New Roman" w:hAnsi="Times New Roman"/>
          <w:b w:val="false"/>
          <w:i w:val="false"/>
          <w:color w:val="000000"/>
          <w:sz w:val="22"/>
        </w:rPr>
        <w:t>means any consensual or nonconsensual sexual conduct with a dependent adult by a caretaker whether within a facility or program or at a location outside of a facility or program. “Sexual exploitation” includes but is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Kissing;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Touching of the clothed or unclothed breast, groin, buttock, anus, pubes, or genitals;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 sex act as defined in Iowa Code section </w:t>
      </w:r>
      <w:hyperlink r:id="rId12">
        <w:r>
          <w:rPr>
            <w:rStyle w:val="Hyperlink"/>
            <w:rFonts w:ascii="Times New Roman" w:hAnsi="Times New Roman"/>
            <w:b w:val="false"/>
            <w:i w:val="false"/>
            <w:color w:val="000000"/>
            <w:sz w:val="22"/>
          </w:rPr>
          <w:t>702.17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transmission, display or taking of electronic images of the unclothed breast, groin, buttock, anus, pubes, or genitals of a dependent adult by a caretaker for a purpose not related to treatment, care, monitoring, assessment or diagnosis or as part of an ongoing evaluation or investigation.</w:t>
      </w:r>
    </w:p>
    <w:p>
      <w:pPr>
        <w:spacing w:before="0" w:after="0"/>
        <w:ind w:left="120"/>
        <w:jc w:val="both"/>
      </w:pPr>
      <w:r>
        <w:rPr>
          <w:rFonts w:ascii="Times New Roman" w:hAnsi="Times New Roman"/>
          <w:b w:val="false"/>
          <w:i w:val="false"/>
          <w:color w:val="000000"/>
          <w:sz w:val="22"/>
        </w:rPr>
        <w:t>“Sexual exploitation” does not include touching that is part of a necessary examination, treatment, or care by a caretaker acting within the scope of the practice or employment of the caretaker; the exchange of a brief touch or hug between the dependent adult and a caretaker for the purpose of reassurance, comfort, or casual friendship; or touching between spouses or domestic partners in an intimate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“Sexual offense”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commission of a sexual offense under Iowa Code chapter </w:t>
      </w:r>
      <w:hyperlink r:id="rId13">
        <w:r>
          <w:rPr>
            <w:rStyle w:val="Hyperlink"/>
            <w:rFonts w:ascii="Times New Roman" w:hAnsi="Times New Roman"/>
            <w:b w:val="false"/>
            <w:i w:val="false"/>
            <w:color w:val="000000"/>
            <w:sz w:val="22"/>
          </w:rPr>
          <w:t>709</w:t>
        </w:r>
      </w:hyperlink>
      <w:r>
        <w:rPr>
          <w:rFonts w:ascii="Times New Roman" w:hAnsi="Times New Roman"/>
          <w:b w:val="false"/>
          <w:i w:val="false"/>
          <w:color w:val="000000"/>
          <w:sz w:val="22"/>
        </w:rPr>
        <w:t xml:space="preserve"> or Iowa Code section </w:t>
      </w:r>
      <w:hyperlink r:id="rId14">
        <w:r>
          <w:rPr>
            <w:rStyle w:val="Hyperlink"/>
            <w:rFonts w:ascii="Times New Roman" w:hAnsi="Times New Roman"/>
            <w:b w:val="false"/>
            <w:i w:val="false"/>
            <w:color w:val="000000"/>
            <w:sz w:val="22"/>
          </w:rPr>
          <w:t>726.2</w:t>
        </w:r>
      </w:hyperlink>
      <w:r>
        <w:rPr>
          <w:rFonts w:ascii="Times New Roman" w:hAnsi="Times New Roman"/>
          <w:b w:val="false"/>
          <w:i w:val="false"/>
          <w:color w:val="000000"/>
          <w:sz w:val="22"/>
        </w:rPr>
        <w:t xml:space="preserve"> with or against a dependent adult.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“Staff member”</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provides direct or indirect treatment or services to residents in a facility or program. Specifically included in the definition of “staff member” is an employee, health care employment agency worker, or other independent contractor who otherwise meets the definition. Direct treatment or services include those provided through person-to-person contact. Indirect treatment or services include those provided without person-to-person contact such as those provided by administration, dietary, laundry, and maintenance. Specifically excluded from the definition of “staff member” are individuals such as part-time volunteers, building contractors, repair workers or others who are in a facility or program for a very limited purpose, are not in the facility or program on a regular basis, or do not provide any treatment or services to the residents of the facility or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“Unreasonable confinement”</w:t>
      </w:r>
      <w:r>
        <w:rPr>
          <w:rFonts w:ascii="Times New Roman" w:hAnsi="Times New Roman"/>
          <w:b w:val="false"/>
          <w:i w:val="false"/>
          <w:color w:val="000000"/>
          <w:sz w:val="22"/>
        </w:rPr>
        <w:t> </w:t>
      </w:r>
      <w:r>
        <w:rPr>
          <w:rFonts w:ascii="Times New Roman" w:hAnsi="Times New Roman"/>
          <w:b w:val="false"/>
          <w:i w:val="false"/>
          <w:color w:val="000000"/>
          <w:sz w:val="22"/>
        </w:rPr>
        <w:t>means confinement that includes but is not limited to the use of restraints, either physical or chemical, for the convenience of staff. “Unreasonable confinement” does not include the use of confinement and restraints if the methods are employed in conformance with state and federal standards governing confinement and restraint or as authorized by a physician or physician extender.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“Unreasonable punishment”</w:t>
      </w:r>
      <w:r>
        <w:rPr>
          <w:rFonts w:ascii="Times New Roman" w:hAnsi="Times New Roman"/>
          <w:b w:val="false"/>
          <w:i w:val="false"/>
          <w:color w:val="000000"/>
          <w:sz w:val="22"/>
        </w:rPr>
        <w:t> </w:t>
      </w:r>
      <w:r>
        <w:rPr>
          <w:rFonts w:ascii="Times New Roman" w:hAnsi="Times New Roman"/>
          <w:b w:val="false"/>
          <w:i w:val="false"/>
          <w:color w:val="000000"/>
          <w:sz w:val="22"/>
        </w:rPr>
        <w:t>means a willful act or statement intended by the caretaker to punish, agitate, confuse, frighten, or cause emotional distress to the dependent adult. Such willful act or statement includes but is not limited to intimidating behavior, threats, harassment, deceptive acts, or false or misleading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“Willful misconduct”</w:t>
      </w:r>
      <w:r>
        <w:rPr>
          <w:rFonts w:ascii="Times New Roman" w:hAnsi="Times New Roman"/>
          <w:b w:val="false"/>
          <w:i w:val="false"/>
          <w:color w:val="000000"/>
          <w:sz w:val="22"/>
        </w:rPr>
        <w:t> </w:t>
      </w:r>
      <w:r>
        <w:rPr>
          <w:rFonts w:ascii="Times New Roman" w:hAnsi="Times New Roman"/>
          <w:b w:val="false"/>
          <w:i w:val="false"/>
          <w:color w:val="000000"/>
          <w:sz w:val="22"/>
        </w:rPr>
        <w:t>means an intentional act of unreasonable character committed with disregard for a known or obvious risk that is so great as to make it highly probable that harm will follow.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481—52.2</w:t>
      </w:r>
      <w:r>
        <w:rPr>
          <w:rFonts w:ascii="Times New Roman" w:hAnsi="Times New Roman"/>
          <w:b/>
          <w:i w:val="false"/>
          <w:color w:val="000000"/>
          <w:sz w:val="22"/>
        </w:rPr>
        <w:t xml:space="preserve">(235E) </w:t>
      </w:r>
      <w:r>
        <w:rPr>
          <w:rFonts w:ascii="Times New Roman" w:hAnsi="Times New Roman"/>
          <w:b/>
          <w:i w:val="false"/>
          <w:color w:val="000000"/>
          <w:sz w:val="22"/>
        </w:rPr>
        <w:t xml:space="preserve">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persons shall report suspected dependent adult abuse in accordance with subrule </w:t>
      </w:r>
      <w:hyperlink r:id="rId15">
        <w:r>
          <w:rPr>
            <w:rStyle w:val="Hyperlink"/>
            <w:rFonts w:ascii="Times New Roman" w:hAnsi="Times New Roman"/>
            <w:b w:val="false"/>
            <w:i w:val="false"/>
            <w:color w:val="000000"/>
            <w:sz w:val="22"/>
          </w:rPr>
          <w:t>52.2(2)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staff member. Specifically excluded from the definition of “staff member” only for purposes of the requirements set forth in this subrule are individuals who have no contact or de minimis contact with residents in a facility or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Entities as set forth in </w:t>
      </w:r>
      <w:hyperlink r:id="rId16">
        <w:r>
          <w:rPr>
            <w:rStyle w:val="Hyperlink"/>
            <w:rFonts w:ascii="Times New Roman" w:hAnsi="Times New Roman"/>
            <w:b w:val="false"/>
            <w:i w:val="false"/>
            <w:color w:val="000000"/>
            <w:sz w:val="22"/>
          </w:rPr>
          <w:t>481—Chapter 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52.2(2)</w:t>
      </w:r>
      <w:r>
        <w:rPr>
          <w:rFonts w:ascii="Times New Roman" w:hAnsi="Times New Roman"/>
          <w:b w:val="false"/>
          <w:i w:val="false"/>
          <w:color w:val="000000"/>
          <w:sz w:val="22"/>
        </w:rPr>
        <w:t> </w:t>
      </w:r>
      <w:r>
        <w:rPr>
          <w:rFonts w:ascii="Times New Roman" w:hAnsi="Times New Roman"/>
          <w:b w:val="false"/>
          <w:i w:val="false"/>
          <w:color w:val="000000"/>
          <w:sz w:val="22"/>
        </w:rPr>
        <w:t>Reporting procedures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staff member or employee is required to make a report pursuant to this rule, the staff member or employee shall immediately notify the person in charge or the person’s designated agent, who shall then notify the department within 24 hours of such notification or the next business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person in charge is the alleged perpetrator of dependent adult abuse, the staff member shall directly report the abuse to the department within 24 hours or the next business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Nothing prevents any person from notifying the department directly of suspected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employer or supervisor of a person who is required to or may make a report pursuant to this rule shall not apply a policy, work rule, or other requirement that interferes with the person making a report of dependent adult abuse or that results in the failure of another person to make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the person making the report has reason to believe that immediate protection for the dependent adult is advisable, that person should also immediately make an oral report to an appropriate law enforcement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report of suspected dependent adult abuse should contain as much of the following information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and time of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date of birth and diagnoses of the dependent adult;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the dependent adult sustained an injury and, if yes, whether photographs of the injury were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nature and extent of the dependent adult abuse, including evidence of previous dependent adult abuse allegations;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list of the staff members working at the time of the incident, including each staff member’s full name, title, date of birth,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full name, title, date of birth, social security number, address, and telephone number of the alleged perpetrator of dependent adult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Other information that might be helpful in establishing the cause of the abuse, establishing the identity of the person or persons responsible for the abuse, or providing assistance to the dependent adult;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making the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52.2(3)</w:t>
      </w:r>
      <w:r>
        <w:rPr>
          <w:rFonts w:ascii="Times New Roman" w:hAnsi="Times New Roman"/>
          <w:b w:val="false"/>
          <w:i w:val="false"/>
          <w:color w:val="000000"/>
          <w:sz w:val="22"/>
        </w:rPr>
        <w:t> </w:t>
      </w:r>
      <w:r>
        <w:rPr>
          <w:rFonts w:ascii="Times New Roman" w:hAnsi="Times New Roman"/>
          <w:b w:val="false"/>
          <w:i w:val="false"/>
          <w:color w:val="000000"/>
          <w:sz w:val="22"/>
        </w:rPr>
        <w:t>A report will be accepted whether or not it contains all of the information requested. When the report is made to any agency other than the department, that agency will promptly refer the report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52.2(4)</w:t>
      </w:r>
      <w:r>
        <w:rPr>
          <w:rFonts w:ascii="Times New Roman" w:hAnsi="Times New Roman"/>
          <w:b w:val="false"/>
          <w:i w:val="false"/>
          <w:color w:val="000000"/>
          <w:sz w:val="22"/>
        </w:rPr>
        <w:t> </w:t>
      </w:r>
      <w:r>
        <w:rPr>
          <w:rFonts w:ascii="Times New Roman" w:hAnsi="Times New Roman"/>
          <w:b w:val="false"/>
          <w:i w:val="false"/>
          <w:color w:val="000000"/>
          <w:sz w:val="22"/>
        </w:rPr>
        <w:t>A person required to report abuse who knowingly and willfully fails to do so within 24 hours may be subject to criminal penalties and civil liability as provided for by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52.2(5)</w:t>
      </w:r>
      <w:r>
        <w:rPr>
          <w:rFonts w:ascii="Times New Roman" w:hAnsi="Times New Roman"/>
          <w:b w:val="false"/>
          <w:i w:val="false"/>
          <w:color w:val="000000"/>
          <w:sz w:val="22"/>
        </w:rPr>
        <w:t> </w:t>
      </w:r>
      <w:r>
        <w:rPr>
          <w:rFonts w:ascii="Times New Roman" w:hAnsi="Times New Roman"/>
          <w:b w:val="false"/>
          <w:i w:val="false"/>
          <w:color w:val="000000"/>
          <w:sz w:val="22"/>
        </w:rPr>
        <w:t>Interference with a person required to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It is unlawful for any person or employer to discharge, suspend, or otherwise discipline a person for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Reporting suspected dependent adult abuse;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Cooperating with or assisting the department in evaluating a report or investigating a case of dependent adult abuse;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Participating in judicial proceedings relating to dependent adult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person in violation of this subrule may be guilty of a simple misdemeanor.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481—52.3</w:t>
      </w:r>
      <w:r>
        <w:rPr>
          <w:rFonts w:ascii="Times New Roman" w:hAnsi="Times New Roman"/>
          <w:b/>
          <w:i w:val="false"/>
          <w:color w:val="000000"/>
          <w:sz w:val="22"/>
        </w:rPr>
        <w:t xml:space="preserve">(235E) </w:t>
      </w:r>
      <w:r>
        <w:rPr>
          <w:rFonts w:ascii="Times New Roman" w:hAnsi="Times New Roman"/>
          <w:b/>
          <w:i w:val="false"/>
          <w:color w:val="000000"/>
          <w:sz w:val="22"/>
        </w:rPr>
        <w:t xml:space="preserve">Reports and central registry.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52.3(1)</w:t>
      </w:r>
      <w:r>
        <w:rPr>
          <w:rFonts w:ascii="Times New Roman" w:hAnsi="Times New Roman"/>
          <w:b w:val="false"/>
          <w:i w:val="false"/>
          <w:color w:val="000000"/>
          <w:sz w:val="22"/>
        </w:rPr>
        <w:t> </w:t>
      </w:r>
      <w:r>
        <w:rPr>
          <w:rFonts w:ascii="Times New Roman" w:hAnsi="Times New Roman"/>
          <w:b w:val="false"/>
          <w:i/>
          <w:color w:val="000000"/>
          <w:sz w:val="22"/>
        </w:rPr>
        <w:t xml:space="preserve">Receipt and evaluation of reports. </w:t>
      </w:r>
      <w:r>
        <w:rPr>
          <w:rFonts w:ascii="Times New Roman" w:hAnsi="Times New Roman"/>
          <w:b w:val="false"/>
          <w:i w:val="false"/>
          <w:color w:val="000000"/>
          <w:sz w:val="22"/>
        </w:rPr>
        <w:t xml:space="preserve">The department receives and evaluates reports of dependent adult abuse in facilities and programs. Upon receipt of a report, the department will conduct an intake sufficient to determine whether the allegation constitutes dependent adult abuse.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52.3(2)</w:t>
      </w:r>
      <w:r>
        <w:rPr>
          <w:rFonts w:ascii="Times New Roman" w:hAnsi="Times New Roman"/>
          <w:b w:val="false"/>
          <w:i w:val="false"/>
          <w:color w:val="000000"/>
          <w:sz w:val="22"/>
        </w:rPr>
        <w:t> </w:t>
      </w:r>
      <w:r>
        <w:rPr>
          <w:rFonts w:ascii="Times New Roman" w:hAnsi="Times New Roman"/>
          <w:b w:val="false"/>
          <w:i/>
          <w:color w:val="000000"/>
          <w:sz w:val="22"/>
        </w:rPr>
        <w:t xml:space="preserve">Central registry. </w:t>
      </w:r>
      <w:r>
        <w:rPr>
          <w:rFonts w:ascii="Times New Roman" w:hAnsi="Times New Roman"/>
          <w:b w:val="false"/>
          <w:i w:val="false"/>
          <w:color w:val="000000"/>
          <w:sz w:val="22"/>
        </w:rPr>
        <w:t xml:space="preserve">The department will inform the department of health and human services of such evaluations and dispositions for inclusion in the central registry for dependent adult abuse information pursuant to Iowa Code section </w:t>
      </w:r>
      <w:hyperlink r:id="rId17">
        <w:r>
          <w:rPr>
            <w:rStyle w:val="Hyperlink"/>
            <w:rFonts w:ascii="Times New Roman" w:hAnsi="Times New Roman"/>
            <w:b w:val="false"/>
            <w:i w:val="false"/>
            <w:color w:val="000000"/>
            <w:sz w:val="22"/>
          </w:rPr>
          <w:t>235B.5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52.3(3)</w:t>
      </w:r>
      <w:r>
        <w:rPr>
          <w:rFonts w:ascii="Times New Roman" w:hAnsi="Times New Roman"/>
          <w:b w:val="false"/>
          <w:i w:val="false"/>
          <w:color w:val="000000"/>
          <w:sz w:val="22"/>
        </w:rPr>
        <w:t> </w:t>
      </w:r>
      <w:r>
        <w:rPr>
          <w:rFonts w:ascii="Times New Roman" w:hAnsi="Times New Roman"/>
          <w:b w:val="false"/>
          <w:i/>
          <w:color w:val="000000"/>
          <w:sz w:val="22"/>
        </w:rPr>
        <w:t xml:space="preserve">Reports to and from the department of health and human services. </w:t>
      </w:r>
      <w:r>
        <w:rPr>
          <w:rFonts w:ascii="Times New Roman" w:hAnsi="Times New Roman"/>
          <w:b w:val="false"/>
          <w:i w:val="false"/>
          <w:color w:val="000000"/>
          <w:sz w:val="22"/>
        </w:rPr>
        <w:t>The department will transfer any reports received of dependent adult abuse in the community to the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52.3(4)</w:t>
      </w:r>
      <w:r>
        <w:rPr>
          <w:rFonts w:ascii="Times New Roman" w:hAnsi="Times New Roman"/>
          <w:b w:val="false"/>
          <w:i w:val="false"/>
          <w:color w:val="000000"/>
          <w:sz w:val="22"/>
        </w:rPr>
        <w:t> </w:t>
      </w:r>
      <w:r>
        <w:rPr>
          <w:rFonts w:ascii="Times New Roman" w:hAnsi="Times New Roman"/>
          <w:b w:val="false"/>
          <w:i/>
          <w:color w:val="000000"/>
          <w:sz w:val="22"/>
        </w:rPr>
        <w:t xml:space="preserve">Reports that are minor, isolated, and unlikely to reoccur.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First instance. </w:t>
      </w:r>
      <w:r>
        <w:rPr>
          <w:rFonts w:ascii="Times New Roman" w:hAnsi="Times New Roman"/>
          <w:b w:val="false"/>
          <w:i w:val="false"/>
          <w:color w:val="000000"/>
          <w:sz w:val="22"/>
        </w:rPr>
        <w:t xml:space="preserve">A report of dependent adult abuse that meets the definition of “dependent adult abuse” as defined in Iowa Code section </w:t>
      </w:r>
      <w:hyperlink r:id="rId18">
        <w:r>
          <w:rPr>
            <w:rStyle w:val="Hyperlink"/>
            <w:rFonts w:ascii="Times New Roman" w:hAnsi="Times New Roman"/>
            <w:b w:val="false"/>
            <w:i w:val="false"/>
            <w:color w:val="000000"/>
            <w:sz w:val="22"/>
          </w:rPr>
          <w:t>235E.1(5)</w:t>
        </w:r>
      </w:hyperlink>
      <w:r>
        <w:rPr>
          <w:rFonts w:ascii="Times New Roman" w:hAnsi="Times New Roman"/>
          <w:b w:val="false"/>
          <w:i/>
          <w:color w:val="000000"/>
          <w:sz w:val="22"/>
        </w:rPr>
        <w:t>“a”</w:t>
      </w:r>
      <w:r>
        <w:rPr>
          <w:rFonts w:ascii="Times New Roman" w:hAnsi="Times New Roman"/>
          <w:b w:val="false"/>
          <w:i w:val="false"/>
          <w:color w:val="000000"/>
          <w:sz w:val="22"/>
        </w:rPr>
        <w:t xml:space="preserve">(1)(a) or (d), or section </w:t>
      </w:r>
      <w:hyperlink r:id="rId19">
        <w:r>
          <w:rPr>
            <w:rStyle w:val="Hyperlink"/>
            <w:rFonts w:ascii="Times New Roman" w:hAnsi="Times New Roman"/>
            <w:b w:val="false"/>
            <w:i w:val="false"/>
            <w:color w:val="000000"/>
            <w:sz w:val="22"/>
          </w:rPr>
          <w:t>235E.1(5)</w:t>
        </w:r>
      </w:hyperlink>
      <w:r>
        <w:rPr>
          <w:rFonts w:ascii="Times New Roman" w:hAnsi="Times New Roman"/>
          <w:b w:val="false"/>
          <w:i/>
          <w:color w:val="000000"/>
          <w:sz w:val="22"/>
        </w:rPr>
        <w:t>“a”</w:t>
      </w:r>
      <w:r>
        <w:rPr>
          <w:rFonts w:ascii="Times New Roman" w:hAnsi="Times New Roman"/>
          <w:b w:val="false"/>
          <w:i w:val="false"/>
          <w:color w:val="000000"/>
          <w:sz w:val="22"/>
        </w:rPr>
        <w:t>(3), which the department determines is minor, isolated, and unlikely to reoccur shall be collected and maintained by the department of health and human services for a five-year period, shall not be included in the central registry, and shall not be considered founded dependent adult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Subsequent instance(s). </w:t>
      </w:r>
      <w:r>
        <w:rPr>
          <w:rFonts w:ascii="Times New Roman" w:hAnsi="Times New Roman"/>
          <w:b w:val="false"/>
          <w:i w:val="false"/>
          <w:color w:val="000000"/>
          <w:sz w:val="22"/>
        </w:rPr>
        <w:t xml:space="preserve">A subsequent report of dependent adult abuse that meets the definition of “dependent adult abuse” as defined in Iowa Code section </w:t>
      </w:r>
      <w:hyperlink r:id="rId20">
        <w:r>
          <w:rPr>
            <w:rStyle w:val="Hyperlink"/>
            <w:rFonts w:ascii="Times New Roman" w:hAnsi="Times New Roman"/>
            <w:b w:val="false"/>
            <w:i w:val="false"/>
            <w:color w:val="000000"/>
            <w:sz w:val="22"/>
          </w:rPr>
          <w:t>235E.1(5)</w:t>
        </w:r>
      </w:hyperlink>
      <w:r>
        <w:rPr>
          <w:rFonts w:ascii="Times New Roman" w:hAnsi="Times New Roman"/>
          <w:b w:val="false"/>
          <w:i/>
          <w:color w:val="000000"/>
          <w:sz w:val="22"/>
        </w:rPr>
        <w:t>“a”</w:t>
      </w:r>
      <w:r>
        <w:rPr>
          <w:rFonts w:ascii="Times New Roman" w:hAnsi="Times New Roman"/>
          <w:b w:val="false"/>
          <w:i w:val="false"/>
          <w:color w:val="000000"/>
          <w:sz w:val="22"/>
        </w:rPr>
        <w:t xml:space="preserve">(1)(a) or (d), or section </w:t>
      </w:r>
      <w:hyperlink r:id="rId21">
        <w:r>
          <w:rPr>
            <w:rStyle w:val="Hyperlink"/>
            <w:rFonts w:ascii="Times New Roman" w:hAnsi="Times New Roman"/>
            <w:b w:val="false"/>
            <w:i w:val="false"/>
            <w:color w:val="000000"/>
            <w:sz w:val="22"/>
          </w:rPr>
          <w:t>235E.1(5)</w:t>
        </w:r>
      </w:hyperlink>
      <w:r>
        <w:rPr>
          <w:rFonts w:ascii="Times New Roman" w:hAnsi="Times New Roman"/>
          <w:b w:val="false"/>
          <w:i/>
          <w:color w:val="000000"/>
          <w:sz w:val="22"/>
        </w:rPr>
        <w:t>“a”</w:t>
      </w:r>
      <w:r>
        <w:rPr>
          <w:rFonts w:ascii="Times New Roman" w:hAnsi="Times New Roman"/>
          <w:b w:val="false"/>
          <w:i w:val="false"/>
          <w:color w:val="000000"/>
          <w:sz w:val="22"/>
        </w:rPr>
        <w:t>(3), that occurs within the five-year period, and that is committed by the same caretaker may also be considered minor, isolated, and unlikely to reoccur, depending on the totality of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Retention. </w:t>
      </w:r>
      <w:r>
        <w:rPr>
          <w:rFonts w:ascii="Times New Roman" w:hAnsi="Times New Roman"/>
          <w:b w:val="false"/>
          <w:i w:val="false"/>
          <w:color w:val="000000"/>
          <w:sz w:val="22"/>
        </w:rPr>
        <w:t>All initial and subsequent reports are collected and maintained by the department of health and human services until a five-year period has expired, so long as no additional reports have been filed.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481—52.4</w:t>
      </w:r>
      <w:r>
        <w:rPr>
          <w:rFonts w:ascii="Times New Roman" w:hAnsi="Times New Roman"/>
          <w:b/>
          <w:i w:val="false"/>
          <w:color w:val="000000"/>
          <w:sz w:val="22"/>
        </w:rPr>
        <w:t xml:space="preserve">(235E) </w:t>
      </w:r>
      <w:r>
        <w:rPr>
          <w:rFonts w:ascii="Times New Roman" w:hAnsi="Times New Roman"/>
          <w:b/>
          <w:i w:val="false"/>
          <w:color w:val="000000"/>
          <w:sz w:val="22"/>
        </w:rPr>
        <w:t xml:space="preserve">Separation mandatory. </w:t>
      </w:r>
      <w:r>
        <w:rPr>
          <w:rFonts w:ascii="Times New Roman" w:hAnsi="Times New Roman"/>
          <w:b w:val="false"/>
          <w:i w:val="false"/>
          <w:color w:val="000000"/>
          <w:sz w:val="22"/>
        </w:rPr>
        <w:t>Upon receipt of a report of alleged dependent adult abuse in a facility or program, the facility or program shall separate the victim and the alleged perpetrator of dependent adult abuse immediately and maintain that separation until the department’s abuse investigation is completed and the abuse determination is made.</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Facilities that participate in the federal Medicare or Medicaid program may be subject to additional federal requirements regarding separation.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481—52.5</w:t>
      </w:r>
      <w:r>
        <w:rPr>
          <w:rFonts w:ascii="Times New Roman" w:hAnsi="Times New Roman"/>
          <w:b/>
          <w:i w:val="false"/>
          <w:color w:val="000000"/>
          <w:sz w:val="22"/>
        </w:rPr>
        <w:t xml:space="preserve">(235E) </w:t>
      </w:r>
      <w:r>
        <w:rPr>
          <w:rFonts w:ascii="Times New Roman" w:hAnsi="Times New Roman"/>
          <w:b/>
          <w:i w:val="false"/>
          <w:color w:val="000000"/>
          <w:sz w:val="22"/>
        </w:rPr>
        <w:t xml:space="preserve">Interviews, examination of evidence, and investigation.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52.5(1)</w:t>
      </w:r>
      <w:r>
        <w:rPr>
          <w:rFonts w:ascii="Times New Roman" w:hAnsi="Times New Roman"/>
          <w:b w:val="false"/>
          <w:i w:val="false"/>
          <w:color w:val="000000"/>
          <w:sz w:val="22"/>
        </w:rPr>
        <w:t> </w:t>
      </w:r>
      <w:r>
        <w:rPr>
          <w:rFonts w:ascii="Times New Roman" w:hAnsi="Times New Roman"/>
          <w:b w:val="false"/>
          <w:i/>
          <w:color w:val="000000"/>
          <w:sz w:val="22"/>
        </w:rPr>
        <w:t xml:space="preserve">Entering and examination of evidence. </w:t>
      </w:r>
      <w:r>
        <w:rPr>
          <w:rFonts w:ascii="Times New Roman" w:hAnsi="Times New Roman"/>
          <w:b w:val="false"/>
          <w:i w:val="false"/>
          <w:color w:val="000000"/>
          <w:sz w:val="22"/>
        </w:rPr>
        <w:t>An inspector of the department may enter any facility or program without a warrant and may examine all records and items pertaining to residents, employees, former employees, and the alleged perpetrator of dependent adult abuse and any other records and items necessary to ensure the integrity of the investigation unless the record or item is protected by some other legal privilege.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52.5(2)</w:t>
      </w:r>
      <w:r>
        <w:rPr>
          <w:rFonts w:ascii="Times New Roman" w:hAnsi="Times New Roman"/>
          <w:b w:val="false"/>
          <w:i w:val="false"/>
          <w:color w:val="000000"/>
          <w:sz w:val="22"/>
        </w:rPr>
        <w:t> </w:t>
      </w:r>
      <w:r>
        <w:rPr>
          <w:rFonts w:ascii="Times New Roman" w:hAnsi="Times New Roman"/>
          <w:b w:val="false"/>
          <w:i/>
          <w:color w:val="000000"/>
          <w:sz w:val="22"/>
        </w:rPr>
        <w:t xml:space="preserve">Interviews.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inspector of the department may contact or interview any resident, employee, former employee, or any other person who may have knowledge about the alleged dependent adult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alleged perpetrator of dependent adult abuse may request to have an attorney present at the alleged perpetrator’s own expense at any time during the interview, but the request may not unreasonably delay the investigation. An employee organization representative or union representative may observe an investigative interview conducted by the department of an alleged perpetrator of dependent adult abuse if all of the conditions set forth in Iowa Code section </w:t>
      </w:r>
      <w:hyperlink r:id="rId22">
        <w:r>
          <w:rPr>
            <w:rStyle w:val="Hyperlink"/>
            <w:rFonts w:ascii="Times New Roman" w:hAnsi="Times New Roman"/>
            <w:b w:val="false"/>
            <w:i w:val="false"/>
            <w:color w:val="000000"/>
            <w:sz w:val="22"/>
          </w:rPr>
          <w:t>235E.2(13)</w:t>
        </w:r>
      </w:hyperlink>
      <w:r>
        <w:rPr>
          <w:rFonts w:ascii="Times New Roman" w:hAnsi="Times New Roman"/>
          <w:b w:val="false"/>
          <w:i/>
          <w:color w:val="000000"/>
          <w:sz w:val="22"/>
        </w:rPr>
        <w:t>“a”</w:t>
      </w:r>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The purpose of the interview is a civil administrative dependent adult abuse investigation under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52.5(3)</w:t>
      </w:r>
      <w:r>
        <w:rPr>
          <w:rFonts w:ascii="Times New Roman" w:hAnsi="Times New Roman"/>
          <w:b w:val="false"/>
          <w:i w:val="false"/>
          <w:color w:val="000000"/>
          <w:sz w:val="22"/>
        </w:rPr>
        <w:t> </w:t>
      </w:r>
      <w:r>
        <w:rPr>
          <w:rFonts w:ascii="Times New Roman" w:hAnsi="Times New Roman"/>
          <w:b w:val="false"/>
          <w:i/>
          <w:color w:val="000000"/>
          <w:sz w:val="22"/>
        </w:rPr>
        <w:t xml:space="preserve">Photographs. </w:t>
      </w:r>
      <w:r>
        <w:rPr>
          <w:rFonts w:ascii="Times New Roman" w:hAnsi="Times New Roman"/>
          <w:b w:val="false"/>
          <w:i w:val="false"/>
          <w:color w:val="000000"/>
          <w:sz w:val="22"/>
        </w:rPr>
        <w:t xml:space="preserve">An inspector may take or cause to be taken photographs of the dependent adult abuse victim and the vicinity involved in accordance with Iowa Code section </w:t>
      </w:r>
      <w:hyperlink r:id="rId23">
        <w:r>
          <w:rPr>
            <w:rStyle w:val="Hyperlink"/>
            <w:rFonts w:ascii="Times New Roman" w:hAnsi="Times New Roman"/>
            <w:b w:val="false"/>
            <w:i w:val="false"/>
            <w:color w:val="000000"/>
            <w:sz w:val="22"/>
          </w:rPr>
          <w:t>235E.2(12)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52.5(4)</w:t>
      </w:r>
      <w:r>
        <w:rPr>
          <w:rFonts w:ascii="Times New Roman" w:hAnsi="Times New Roman"/>
          <w:b w:val="false"/>
          <w:i w:val="false"/>
          <w:color w:val="000000"/>
          <w:sz w:val="22"/>
        </w:rPr>
        <w:t> </w:t>
      </w:r>
      <w:r>
        <w:rPr>
          <w:rFonts w:ascii="Times New Roman" w:hAnsi="Times New Roman"/>
          <w:b w:val="false"/>
          <w:i/>
          <w:color w:val="000000"/>
          <w:sz w:val="22"/>
        </w:rPr>
        <w:t xml:space="preserve">Evaluating information. </w:t>
      </w:r>
      <w:r>
        <w:rPr>
          <w:rFonts w:ascii="Times New Roman" w:hAnsi="Times New Roman"/>
          <w:b w:val="false"/>
          <w:i w:val="false"/>
          <w:color w:val="000000"/>
          <w:sz w:val="22"/>
        </w:rPr>
        <w:t>The department will consider the information as reported, other known or discovered information, and any information gathered as a result of the inspector’s contact with collateral sources, including prior abuse allegations and disciplinary actions.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481—52.6</w:t>
      </w:r>
      <w:r>
        <w:rPr>
          <w:rFonts w:ascii="Times New Roman" w:hAnsi="Times New Roman"/>
          <w:b/>
          <w:i w:val="false"/>
          <w:color w:val="000000"/>
          <w:sz w:val="22"/>
        </w:rPr>
        <w:t xml:space="preserve">(235E) </w:t>
      </w:r>
      <w:r>
        <w:rPr>
          <w:rFonts w:ascii="Times New Roman" w:hAnsi="Times New Roman"/>
          <w:b/>
          <w:i w:val="false"/>
          <w:color w:val="000000"/>
          <w:sz w:val="22"/>
        </w:rPr>
        <w:t xml:space="preserve">Notification to subsequent employers. </w:t>
      </w:r>
      <w:r>
        <w:rPr>
          <w:rFonts w:ascii="Times New Roman" w:hAnsi="Times New Roman"/>
          <w:b w:val="false"/>
          <w:i w:val="false"/>
          <w:color w:val="000000"/>
          <w:sz w:val="22"/>
        </w:rPr>
        <w:t xml:space="preserve">The department will notify a facility or program that subsequently employs a founded dependent adult abuser in accordance with Iowa Code section </w:t>
      </w:r>
      <w:hyperlink r:id="rId24">
        <w:r>
          <w:rPr>
            <w:rStyle w:val="Hyperlink"/>
            <w:rFonts w:ascii="Times New Roman" w:hAnsi="Times New Roman"/>
            <w:b w:val="false"/>
            <w:i w:val="false"/>
            <w:color w:val="000000"/>
            <w:sz w:val="22"/>
          </w:rPr>
          <w:t>235E.2(11)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25">
        <w:r>
          <w:rPr>
            <w:rStyle w:val="Hyperlink"/>
            <w:rFonts w:ascii="Times New Roman" w:hAnsi="Times New Roman"/>
            <w:b w:val="false"/>
            <w:i w:val="false"/>
            <w:color w:val="000000"/>
            <w:sz w:val="22"/>
          </w:rPr>
          <w:t>235E</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8294B</w:t>
      </w:r>
      <w:r>
        <w:rPr>
          <w:rFonts w:ascii="Times New Roman" w:hAnsi="Times New Roman"/>
          <w:b w:val="false"/>
          <w:i w:val="false"/>
          <w:color w:val="000000"/>
          <w:sz w:val="21"/>
        </w:rPr>
        <w:t xml:space="preserve"> (Notice ARC 7828B, IAB 6/3/09; </w:t>
      </w:r>
      <w:r>
        <w:rPr>
          <w:rFonts w:ascii="Times New Roman" w:hAnsi="Times New Roman"/>
          <w:b w:val="false"/>
          <w:i w:val="false"/>
          <w:color w:val="000000"/>
          <w:sz w:val="21"/>
        </w:rPr>
        <w:t>Amended Notice ARC 7939B, IAB 7/1/09)</w:t>
      </w:r>
      <w:r>
        <w:rPr>
          <w:rFonts w:ascii="Times New Roman" w:hAnsi="Times New Roman"/>
          <w:b w:val="false"/>
          <w:i w:val="false"/>
          <w:color w:val="000000"/>
          <w:sz w:val="21"/>
        </w:rPr>
        <w:t>, IAB 11/18/09, effective 1/1/10]</w:t>
      </w:r>
    </w:p>
    <w:p>
      <w:pPr>
        <w:spacing w:before="0" w:after="0"/>
        <w:ind w:left="120"/>
        <w:jc w:val="center"/>
      </w:pPr>
      <w:r>
        <w:rPr>
          <w:rFonts w:ascii="Times New Roman" w:hAnsi="Times New Roman"/>
          <w:b w:val="false"/>
          <w:i w:val="false"/>
          <w:color w:val="000000"/>
          <w:sz w:val="21"/>
        </w:rPr>
        <w:t>[Filed ARC 3235C</w:t>
      </w:r>
      <w:r>
        <w:rPr>
          <w:rFonts w:ascii="Times New Roman" w:hAnsi="Times New Roman"/>
          <w:b w:val="false"/>
          <w:i w:val="false"/>
          <w:color w:val="000000"/>
          <w:sz w:val="21"/>
        </w:rPr>
        <w:t xml:space="preserve"> (Notice ARC 3110C, IAB 6/7/17)</w:t>
      </w:r>
      <w:r>
        <w:rPr>
          <w:rFonts w:ascii="Times New Roman" w:hAnsi="Times New Roman"/>
          <w:b w:val="false"/>
          <w:i w:val="false"/>
          <w:color w:val="000000"/>
          <w:sz w:val="21"/>
        </w:rPr>
        <w:t>, IAB 8/2/17, effective 9/6/17]</w:t>
      </w:r>
    </w:p>
    <w:p>
      <w:pPr>
        <w:spacing w:before="0" w:after="0"/>
        <w:ind w:left="120"/>
        <w:jc w:val="center"/>
      </w:pPr>
      <w:r>
        <w:rPr>
          <w:rFonts w:ascii="Times New Roman" w:hAnsi="Times New Roman"/>
          <w:b w:val="false"/>
          <w:i w:val="false"/>
          <w:color w:val="000000"/>
          <w:sz w:val="21"/>
        </w:rPr>
        <w:t>[Filed ARC 5004C</w:t>
      </w:r>
      <w:r>
        <w:rPr>
          <w:rFonts w:ascii="Times New Roman" w:hAnsi="Times New Roman"/>
          <w:b w:val="false"/>
          <w:i w:val="false"/>
          <w:color w:val="000000"/>
          <w:sz w:val="21"/>
        </w:rPr>
        <w:t xml:space="preserve"> (Notice ARC 4890C, IAB 1/29/20)</w:t>
      </w:r>
      <w:r>
        <w:rPr>
          <w:rFonts w:ascii="Times New Roman" w:hAnsi="Times New Roman"/>
          <w:b w:val="false"/>
          <w:i w:val="false"/>
          <w:color w:val="000000"/>
          <w:sz w:val="21"/>
        </w:rPr>
        <w:t>, IAB 3/25/20, effective 4/29/20]</w:t>
      </w:r>
    </w:p>
    <w:p>
      <w:pPr>
        <w:spacing w:before="0" w:after="0"/>
        <w:ind w:left="120"/>
        <w:jc w:val="center"/>
      </w:pPr>
      <w:r>
        <w:rPr>
          <w:rFonts w:ascii="Times New Roman" w:hAnsi="Times New Roman"/>
          <w:b w:val="false"/>
          <w:i w:val="false"/>
          <w:color w:val="000000"/>
          <w:sz w:val="21"/>
        </w:rPr>
        <w:t>[Filed ARC 6801C</w:t>
      </w:r>
      <w:r>
        <w:rPr>
          <w:rFonts w:ascii="Times New Roman" w:hAnsi="Times New Roman"/>
          <w:b w:val="false"/>
          <w:i w:val="false"/>
          <w:color w:val="000000"/>
          <w:sz w:val="21"/>
        </w:rPr>
        <w:t xml:space="preserve"> (Notice ARC 6633C, IAB 11/2/22)</w:t>
      </w:r>
      <w:r>
        <w:rPr>
          <w:rFonts w:ascii="Times New Roman" w:hAnsi="Times New Roman"/>
          <w:b w:val="false"/>
          <w:i w:val="false"/>
          <w:color w:val="000000"/>
          <w:sz w:val="21"/>
        </w:rPr>
        <w:t>, IAB 1/11/23, effective 2/15/23]</w:t>
      </w:r>
    </w:p>
    <w:p>
      <w:pPr>
        <w:spacing w:before="0" w:after="0"/>
        <w:ind w:left="120"/>
        <w:jc w:val="center"/>
      </w:pPr>
      <w:r>
        <w:rPr>
          <w:rFonts w:ascii="Times New Roman" w:hAnsi="Times New Roman"/>
          <w:b w:val="false"/>
          <w:i w:val="false"/>
          <w:color w:val="000000"/>
          <w:sz w:val="21"/>
        </w:rPr>
        <w:t>[Filed ARC 9270C</w:t>
      </w:r>
      <w:r>
        <w:rPr>
          <w:rFonts w:ascii="Times New Roman" w:hAnsi="Times New Roman"/>
          <w:b w:val="false"/>
          <w:i w:val="false"/>
          <w:color w:val="000000"/>
          <w:sz w:val="21"/>
        </w:rPr>
        <w:t xml:space="preserve"> (Notice ARC 8905C, IAB 2/19/25)</w:t>
      </w:r>
      <w:r>
        <w:rPr>
          <w:rFonts w:ascii="Times New Roman" w:hAnsi="Times New Roman"/>
          <w:b w:val="false"/>
          <w:i w:val="false"/>
          <w:color w:val="000000"/>
          <w:sz w:val="21"/>
        </w:rPr>
        <w:t>, IAB 5/14/25, effective 6/18/25]</w:t>
      </w:r>
    </w:p>
    <w:sectPr>
      <w:footerReference r:id="rId2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5E.1.pdf" Type="http://schemas.openxmlformats.org/officeDocument/2006/relationships/hyperlink" Id="rId5"/>
    <Relationship TargetMode="External" Target="https://www.legis.iowa.gov/docs/ico/chapter/235B.5.pdf" Type="http://schemas.openxmlformats.org/officeDocument/2006/relationships/hyperlink" Id="rId6"/>
    <Relationship TargetMode="External" Target="https://www.legis.iowa.gov/docs/ico/chapter/135C.pdf" Type="http://schemas.openxmlformats.org/officeDocument/2006/relationships/hyperlink" Id="rId7"/>
    <Relationship TargetMode="External" Target="https://www.legis.iowa.gov/docs/ico/chapter/135B.pdf" Type="http://schemas.openxmlformats.org/officeDocument/2006/relationships/hyperlink" Id="rId8"/>
    <Relationship TargetMode="External" Target="https://www.legis.iowa.gov/docs/ico/chapter/231C.pdf" Type="http://schemas.openxmlformats.org/officeDocument/2006/relationships/hyperlink" Id="rId9"/>
    <Relationship TargetMode="External" Target="https://www.legis.iowa.gov/docs/ico/chapter/231B.pdf" Type="http://schemas.openxmlformats.org/officeDocument/2006/relationships/hyperlink" Id="rId10"/>
    <Relationship TargetMode="External" Target="https://www.legis.iowa.gov/docs/ico/chapter/231D.pdf" Type="http://schemas.openxmlformats.org/officeDocument/2006/relationships/hyperlink" Id="rId11"/>
    <Relationship TargetMode="External" Target="https://www.legis.iowa.gov/docs/ico/chapter/702.17.pdf" Type="http://schemas.openxmlformats.org/officeDocument/2006/relationships/hyperlink" Id="rId12"/>
    <Relationship TargetMode="External" Target="https://www.legis.iowa.gov/docs/ico/chapter/709.pdf" Type="http://schemas.openxmlformats.org/officeDocument/2006/relationships/hyperlink" Id="rId13"/>
    <Relationship TargetMode="External" Target="https://www.legis.iowa.gov/docs/ico/chapter/726.2.pdf" Type="http://schemas.openxmlformats.org/officeDocument/2006/relationships/hyperlink" Id="rId14"/>
    <Relationship TargetMode="External" Target="https://www.legis.iowa.gov/docs/iac/rule/481.52.2.pdf" Type="http://schemas.openxmlformats.org/officeDocument/2006/relationships/hyperlink" Id="rId15"/>
    <Relationship TargetMode="External" Target="https://www.legis.iowa.gov/docs/iac/chapter/481.55.pdf" Type="http://schemas.openxmlformats.org/officeDocument/2006/relationships/hyperlink" Id="rId16"/>
    <Relationship TargetMode="External" Target="https://www.legis.iowa.gov/docs/ico/chapter/235B.5.pdf" Type="http://schemas.openxmlformats.org/officeDocument/2006/relationships/hyperlink" Id="rId17"/>
    <Relationship TargetMode="External" Target="https://www.legis.iowa.gov/docs/ico/chapter/235E.1.pdf" Type="http://schemas.openxmlformats.org/officeDocument/2006/relationships/hyperlink" Id="rId18"/>
    <Relationship TargetMode="External" Target="https://www.legis.iowa.gov/docs/ico/chapter/235E.1.pdf" Type="http://schemas.openxmlformats.org/officeDocument/2006/relationships/hyperlink" Id="rId19"/>
    <Relationship TargetMode="External" Target="https://www.legis.iowa.gov/docs/ico/chapter/235E.1.pdf" Type="http://schemas.openxmlformats.org/officeDocument/2006/relationships/hyperlink" Id="rId20"/>
    <Relationship TargetMode="External" Target="https://www.legis.iowa.gov/docs/ico/chapter/235E.1.pdf" Type="http://schemas.openxmlformats.org/officeDocument/2006/relationships/hyperlink" Id="rId21"/>
    <Relationship TargetMode="External" Target="https://www.legis.iowa.gov/docs/ico/chapter/235E.2.pdf" Type="http://schemas.openxmlformats.org/officeDocument/2006/relationships/hyperlink" Id="rId22"/>
    <Relationship TargetMode="External" Target="https://www.legis.iowa.gov/docs/ico/chapter/235E.2.pdf" Type="http://schemas.openxmlformats.org/officeDocument/2006/relationships/hyperlink" Id="rId23"/>
    <Relationship TargetMode="External" Target="https://www.legis.iowa.gov/docs/ico/chapter/235E.2.pdf" Type="http://schemas.openxmlformats.org/officeDocument/2006/relationships/hyperlink" Id="rId24"/>
    <Relationship TargetMode="External" Target="https://www.legis.iowa.gov/docs/ico/chapter/235E.pdf" Type="http://schemas.openxmlformats.org/officeDocument/2006/relationships/hyperlink" Id="rId25"/>
    <Relationship Target="footer.xml" Type="http://schemas.openxmlformats.org/officeDocument/2006/relationships/footer" Id="rId2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