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504</w:t>
      </w:r>
    </w:p>
    <w:p>
      <w:pPr>
        <w:spacing w:before="0" w:after="0"/>
        <w:ind w:left="120"/>
        <w:jc w:val="center"/>
      </w:pPr>
      <w:r>
        <w:rPr>
          <w:rFonts w:ascii="Times New Roman" w:hAnsi="Times New Roman"/>
          <w:b w:val="false"/>
          <w:i w:val="false"/>
          <w:color w:val="000000"/>
          <w:sz w:val="21"/>
        </w:rPr>
        <w:t>MODEL RULES FOR DISCIPLINE</w:t>
      </w:r>
    </w:p>
    <w:p>
      <w:pPr>
        <w:spacing w:before="0" w:after="0"/>
        <w:ind w:left="120"/>
        <w:jc w:val="center"/>
      </w:pPr>
      <w:r>
        <w:rPr>
          <w:rFonts w:ascii="Times New Roman" w:hAnsi="Times New Roman"/>
          <w:b w:val="false"/>
          <w:i w:val="false"/>
          <w:color w:val="000000"/>
          <w:sz w:val="20"/>
        </w:rPr>
        <w:t>[Prior to 9/18/24, see Professional Licensure Division[645]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professional licensing board established pursuant to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under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 discipline”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board may impose any of the disciplinary sanctions provided in Iowa Code section </w:t>
      </w:r>
      <w:hyperlink r:id="rId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Iowa Code section </w:t>
      </w:r>
      <w:hyperlink r:id="rId9">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perform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licensees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504.2(3)</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504.2(4)</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504.2(5)</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504.2(6)</w:t>
      </w:r>
      <w:r>
        <w:rPr>
          <w:rFonts w:ascii="Times New Roman" w:hAnsi="Times New Roman"/>
          <w:b w:val="false"/>
          <w:i w:val="false"/>
          <w:color w:val="000000"/>
          <w:sz w:val="22"/>
        </w:rPr>
        <w:t> </w:t>
      </w:r>
      <w:r>
        <w:rPr>
          <w:rFonts w:ascii="Times New Roman" w:hAnsi="Times New Roman"/>
          <w:b w:val="false"/>
          <w:i w:val="false"/>
          <w:color w:val="000000"/>
          <w:sz w:val="22"/>
        </w:rPr>
        <w:t>Falsification, alteration or destruction of client or patient records with the intent to deceive.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504.2(7)</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504.2(8)</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which includes a failure to exercise due care, including negligent delegation of duties or supervision of employees or other individuals, whether or not injury results; or any conduct, practice or conditions that impair the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504.2(9)</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or failure of the licensee to report such action within 30 days of the final action by such licensing authority. A stay by an appellate court shall not negate this requirement; however, if such disciplinary action is overturned or reversed by a court of last resort, such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504.2(12)</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504.2(13)</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failure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504.2(17)</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board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504.2(18)</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504.2(19)</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504.2(20)</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 or failure to submit the biennial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1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504.2(22)</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 change of name or address within 30 days after it occurs.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504.2(24)</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licensee when one’s license has been suspended or revoked,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504.2(25)</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504.2(26)</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that require a license to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504.2(27)</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11">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504.2(29)</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Iowa professional health committee or violation of the terms of an impaired practitioner recovery contract with the Iowa professional health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481—504.3</w:t>
      </w:r>
      <w:r>
        <w:rPr>
          <w:rFonts w:ascii="Times New Roman" w:hAnsi="Times New Roman"/>
          <w:b/>
          <w:i w:val="false"/>
          <w:color w:val="000000"/>
          <w:sz w:val="22"/>
        </w:rPr>
        <w:t xml:space="preserve">(272C)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 xml:space="preserve">The board has the authority to impose the following disciplinary sanctions as defined in Iowa Code section </w:t>
      </w:r>
      <w:hyperlink r:id="rId1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Such other sanctions allowed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8081C</w:t>
      </w:r>
      <w:r>
        <w:rPr>
          <w:rFonts w:ascii="Times New Roman" w:hAnsi="Times New Roman"/>
          <w:b w:val="false"/>
          <w:i w:val="false"/>
          <w:color w:val="000000"/>
          <w:sz w:val="21"/>
        </w:rPr>
        <w:t xml:space="preserve"> (Notice ARC 7305C,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co/chapter/272C.3.pdf" Type="http://schemas.openxmlformats.org/officeDocument/2006/relationships/hyperlink" Id="rId8"/>
    <Relationship TargetMode="External" Target="https://www.legis.iowa.gov/docs/ico/chapter/147.55.pdf" Type="http://schemas.openxmlformats.org/officeDocument/2006/relationships/hyperlink" Id="rId9"/>
    <Relationship TargetMode="External" Target="https://www.legis.iowa.gov/docs/ico/chapter/272C.9.pdf" Type="http://schemas.openxmlformats.org/officeDocument/2006/relationships/hyperlink" Id="rId10"/>
    <Relationship TargetMode="External" Target="https://www.legis.iowa.gov/docs/ico/chapter/147.55.pdf" Type="http://schemas.openxmlformats.org/officeDocument/2006/relationships/hyperlink" Id="rId11"/>
    <Relationship TargetMode="External" Target="https://www.legis.iowa.gov/docs/ico/chapter/272C.3.pdf" Type="http://schemas.openxmlformats.org/officeDocument/2006/relationships/hyperlink" Id="rId12"/>
    <Relationship TargetMode="External" Target="https://www.legis.iowa.gov/docs/ico/chapter/21.7.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272C.5.pdf" Type="http://schemas.openxmlformats.org/officeDocument/2006/relationships/hyperlink" Id="rId15"/>
    <Relationship TargetMode="External" Target="https://www.legis.iowa.gov/docs/ico/chapter/272C.6.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