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503</w:t>
      </w:r>
    </w:p>
    <w:p>
      <w:pPr>
        <w:spacing w:before="0" w:after="0"/>
        <w:ind w:left="120"/>
        <w:jc w:val="center"/>
      </w:pPr>
      <w:r>
        <w:rPr>
          <w:rFonts w:ascii="Times New Roman" w:hAnsi="Times New Roman"/>
          <w:b w:val="false"/>
          <w:i w:val="false"/>
          <w:color w:val="000000"/>
          <w:sz w:val="21"/>
        </w:rPr>
        <w:t>MODEL RULES FOR COMPLAINTS AND INVESTIGATIONS</w:t>
      </w:r>
    </w:p>
    <w:p>
      <w:pPr>
        <w:spacing w:before="0" w:after="0"/>
        <w:ind w:left="120"/>
        <w:jc w:val="center"/>
      </w:pPr>
      <w:r>
        <w:rPr>
          <w:rFonts w:ascii="Times New Roman" w:hAnsi="Times New Roman"/>
          <w:b w:val="false"/>
          <w:i w:val="false"/>
          <w:color w:val="000000"/>
          <w:sz w:val="20"/>
        </w:rPr>
        <w:t>[Prior to 9/18/24, see Professional Licensure Division[645]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481—503.1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are to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or for cooperating with a board investigation.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who has knowledge of rule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to sufficiently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503.5(1)</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designee may, upon the written request of a board investigator or on the administrator’s own initiative, subpoena books, papers, records, and other real evidence that is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a motion to quash or modify the subpoena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can challenge the subpoena by filing a motion to quash describing the legal justification for the motion accompanied by a legal brief or factual affidavits, within 14 days after service of the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503.5(5)</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via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determines what complaints or other matters are referred to a peer reviewer.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to be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will observe the requirements of confidentiality imposed by Iowa Code section </w:t>
      </w:r>
      <w:hyperlink r:id="rId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administrator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8079C</w:t>
      </w:r>
      <w:r>
        <w:rPr>
          <w:rFonts w:ascii="Times New Roman" w:hAnsi="Times New Roman"/>
          <w:b w:val="false"/>
          <w:i w:val="false"/>
          <w:color w:val="000000"/>
          <w:sz w:val="21"/>
        </w:rPr>
        <w:t xml:space="preserve"> (Notice ARC 7303C,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6.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