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502</w:t>
      </w:r>
    </w:p>
    <w:p>
      <w:pPr>
        <w:spacing w:before="0" w:after="0"/>
        <w:ind w:left="120"/>
        <w:jc w:val="center"/>
      </w:pPr>
      <w:r>
        <w:rPr>
          <w:rFonts w:ascii="Times New Roman" w:hAnsi="Times New Roman"/>
          <w:b w:val="false"/>
          <w:i w:val="false"/>
          <w:color w:val="000000"/>
          <w:sz w:val="21"/>
        </w:rPr>
        <w:t xml:space="preserve">MODEL RULES FOR USE OF CRIMINAL CONVICTIONS IN ELIGIBILITY DETERMINATIONS AND INITIAL </w:t>
      </w:r>
      <w:r>
        <w:br/>
      </w:r>
      <w:r>
        <w:rPr>
          <w:rFonts w:ascii="Times New Roman" w:hAnsi="Times New Roman"/>
          <w:b w:val="false"/>
          <w:i w:val="false"/>
          <w:color w:val="000000"/>
          <w:sz w:val="21"/>
        </w:rPr>
        <w:t>LICENSING DECISIONS</w:t>
      </w:r>
    </w:p>
    <w:p>
      <w:pPr>
        <w:spacing w:before="0" w:after="0"/>
        <w:ind w:left="120"/>
        <w:jc w:val="center"/>
      </w:pPr>
      <w:r>
        <w:rPr>
          <w:rFonts w:ascii="Times New Roman" w:hAnsi="Times New Roman"/>
          <w:b w:val="false"/>
          <w:i w:val="false"/>
          <w:color w:val="000000"/>
          <w:sz w:val="20"/>
        </w:rPr>
        <w:t>[Prior to 9/18/24, see Professional Licensure Division[645]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conviction directly related to the duties and responsibilities of the profession pursuant to Iowa Code section </w:t>
      </w:r>
      <w:hyperlink r:id="rId5">
        <w:r>
          <w:rPr>
            <w:rStyle w:val="Hyperlink"/>
            <w:rFonts w:ascii="Times New Roman" w:hAnsi="Times New Roman"/>
            <w:b w:val="false"/>
            <w:i w:val="false"/>
            <w:color w:val="000000"/>
            <w:sz w:val="22"/>
          </w:rPr>
          <w:t>272C.1(8)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any license, registration, or permit issued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rule </w:t>
      </w:r>
      <w:hyperlink r:id="rId6">
        <w:r>
          <w:rPr>
            <w:rStyle w:val="Hyperlink"/>
            <w:rFonts w:ascii="Times New Roman" w:hAnsi="Times New Roman"/>
            <w:b w:val="false"/>
            <w:i w:val="false"/>
            <w:color w:val="000000"/>
            <w:sz w:val="22"/>
          </w:rPr>
          <w:t>481—502.3</w:t>
        </w:r>
      </w:hyperlink>
      <w:r>
        <w:rPr>
          <w:rFonts w:ascii="Times New Roman" w:hAnsi="Times New Roman"/>
          <w:b w:val="false"/>
          <w:i w:val="false"/>
          <w:color w:val="000000"/>
          <w:sz w:val="22"/>
        </w:rPr>
        <w:t>(272C),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all evidence of rehabilitation that the applicant wishes to be considered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481—502.3</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not yet submitted a completed license application may petition the board for a determination of whether one or more of the individual’s convictions are disqualifying offenses that would render the individual ineligible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502.3(2)</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481—502.4</w:t>
      </w:r>
      <w:r>
        <w:rPr>
          <w:rFonts w:ascii="Times New Roman" w:hAnsi="Times New Roman"/>
          <w:b/>
          <w:i w:val="false"/>
          <w:color w:val="000000"/>
          <w:sz w:val="22"/>
        </w:rPr>
        <w:t xml:space="preserve">(272C) </w:t>
      </w:r>
      <w:r>
        <w:rPr>
          <w:rFonts w:ascii="Times New Roman" w:hAnsi="Times New Roman"/>
          <w:b/>
          <w:i w:val="false"/>
          <w:color w:val="000000"/>
          <w:sz w:val="22"/>
        </w:rPr>
        <w:t xml:space="preserve">Appeal. </w:t>
      </w:r>
      <w:r>
        <w:rPr>
          <w:rFonts w:ascii="Times New Roman" w:hAnsi="Times New Roman"/>
          <w:b w:val="false"/>
          <w:i w:val="false"/>
          <w:color w:val="000000"/>
          <w:sz w:val="22"/>
        </w:rPr>
        <w:t>A petitioner deemed ineligible or an applicant denied a license due to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481—502.5</w:t>
      </w:r>
      <w:r>
        <w:rPr>
          <w:rFonts w:ascii="Times New Roman" w:hAnsi="Times New Roman"/>
          <w:b/>
          <w:i w:val="false"/>
          <w:color w:val="000000"/>
          <w:sz w:val="22"/>
        </w:rPr>
        <w:t xml:space="preserve">(272C) </w:t>
      </w:r>
      <w:r>
        <w:rPr>
          <w:rFonts w:ascii="Times New Roman" w:hAnsi="Times New Roman"/>
          <w:b/>
          <w:i w:val="false"/>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8082C</w:t>
      </w:r>
      <w:r>
        <w:rPr>
          <w:rFonts w:ascii="Times New Roman" w:hAnsi="Times New Roman"/>
          <w:b w:val="false"/>
          <w:i w:val="false"/>
          <w:color w:val="000000"/>
          <w:sz w:val="21"/>
        </w:rPr>
        <w:t xml:space="preserve"> (Notice ARC 7311C,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ac/rule/481.502.3.pdf" Type="http://schemas.openxmlformats.org/officeDocument/2006/relationships/hyperlink" Id="rId6"/>
    <Relationship TargetMode="External" Target="https://www.legis.iowa.gov/docs/ico/chapter/272C.15.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