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501</w:t>
      </w:r>
    </w:p>
    <w:p>
      <w:pPr>
        <w:spacing w:before="0" w:after="0"/>
        <w:ind w:left="120"/>
        <w:jc w:val="center"/>
      </w:pPr>
      <w:r>
        <w:rPr>
          <w:rFonts w:ascii="Times New Roman" w:hAnsi="Times New Roman"/>
          <w:b w:val="false"/>
          <w:i w:val="false"/>
          <w:color w:val="000000"/>
          <w:sz w:val="21"/>
        </w:rPr>
        <w:t xml:space="preserve"> MODEL RULES FOR LICENSURE BY VERIFICATION OR WORK EXPERIENCE</w:t>
      </w:r>
    </w:p>
    <w:p>
      <w:pPr>
        <w:spacing w:before="0" w:after="0"/>
        <w:ind w:left="120"/>
        <w:jc w:val="center"/>
      </w:pPr>
      <w:r>
        <w:rPr>
          <w:rFonts w:ascii="Times New Roman" w:hAnsi="Times New Roman"/>
          <w:b w:val="false"/>
          <w:i w:val="false"/>
          <w:color w:val="000000"/>
          <w:sz w:val="20"/>
        </w:rPr>
        <w:t>[Prior to 9/18/24, see Professional Licensure Division[645] 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481—501.1</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the person is licensed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Completed fingerprint cards and a signed waiver form to facilitate a national criminal history background check, if required for initial licensure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attestation that the applicant’s license in that jurisdiction complies with the requirements of Iowa Code section </w:t>
      </w:r>
      <w:hyperlink r:id="rId5">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w:t>
      </w:r>
      <w:r>
        <w:rPr>
          <w:rFonts w:ascii="Times New Roman" w:hAnsi="Times New Roman"/>
          <w:b w:val="false"/>
          <w:i w:val="false"/>
          <w:color w:val="000000"/>
          <w:sz w:val="22"/>
        </w:rPr>
        <w:t> </w:t>
      </w:r>
      <w:r>
        <w:rPr>
          <w:rFonts w:ascii="Times New Roman" w:hAnsi="Times New Roman"/>
          <w:b w:val="false"/>
          <w:i/>
          <w:color w:val="000000"/>
          <w:sz w:val="22"/>
        </w:rPr>
        <w:t xml:space="preserve">Compact privileges. </w:t>
      </w:r>
      <w:r>
        <w:rPr>
          <w:rFonts w:ascii="Times New Roman" w:hAnsi="Times New Roman"/>
          <w:b w:val="false"/>
          <w:i w:val="false"/>
          <w:color w:val="000000"/>
          <w:sz w:val="22"/>
        </w:rPr>
        <w:t>A person who has a privilege to practice in Iowa by virtue of an interstate licensure compact is ineligible for licensure by verification. Licenses issued pursuant to this rule do not grant privileges to practice in any other jurisdiction pursuant to any interstate licensure compact.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481—501.2</w:t>
      </w:r>
      <w:r>
        <w:rPr>
          <w:rFonts w:ascii="Times New Roman" w:hAnsi="Times New Roman"/>
          <w:b/>
          <w:i w:val="false"/>
          <w:color w:val="000000"/>
          <w:sz w:val="22"/>
        </w:rPr>
        <w:t xml:space="preserve">(272C) </w:t>
      </w:r>
      <w:r>
        <w:rPr>
          <w:rFonts w:ascii="Times New Roman" w:hAnsi="Times New Roman"/>
          <w:b/>
          <w:i w:val="false"/>
          <w:color w:val="000000"/>
          <w:sz w:val="22"/>
        </w:rPr>
        <w:t xml:space="preserve">Applicants with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r>
        <w:rPr>
          <w:rFonts w:ascii="Times New Roman" w:hAnsi="Times New Roman"/>
          <w:b w:val="false"/>
          <w:i w:val="false"/>
          <w:color w:val="000000"/>
          <w:sz w:val="22"/>
        </w:rPr>
        <w:t>An applicant for initial licensure who has relocated to Iowa from another jurisdiction that did not require a professional license to practice in the profession may be considered to have met any educational and training requirements if the person has at least three years of work experience with a scope of practice substantially similar to that of the profession for which a license in Iowa is sought. The three years of work experience must be within the four years preceding the date of application for initial licensure. The applicant must satisfy all other requirements, including passing any required examinations, to receive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An applicant who wishes to substitute work experience in lieu of satisfying applicable education or training requirements shall carry the burden of proving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work experience within the four years preceding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work experience was in a practice with a scope of practice substantially similar to that for which the license is sought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7013C</w:t>
      </w:r>
      <w:r>
        <w:rPr>
          <w:rFonts w:ascii="Times New Roman" w:hAnsi="Times New Roman"/>
          <w:b w:val="false"/>
          <w:i w:val="false"/>
          <w:color w:val="000000"/>
          <w:sz w:val="21"/>
        </w:rPr>
        <w:t xml:space="preserve"> (Notice ARC 6943C, IAB 3/8/23)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[Filed ARC 8083C</w:t>
      </w:r>
      <w:r>
        <w:rPr>
          <w:rFonts w:ascii="Times New Roman" w:hAnsi="Times New Roman"/>
          <w:b w:val="false"/>
          <w:i w:val="false"/>
          <w:color w:val="000000"/>
          <w:sz w:val="21"/>
        </w:rPr>
        <w:t xml:space="preserve"> (Notice ARC 7310C,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2.pdf" Type="http://schemas.openxmlformats.org/officeDocument/2006/relationships/hyperlink" Id="rId5"/>
    <Relationship TargetMode="External" Target="https://www.legis.iowa.gov/docs/ico/chapter/272C.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