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492</w:t>
      </w:r>
    </w:p>
    <w:p>
      <w:pPr>
        <w:spacing w:before="0" w:after="0"/>
        <w:ind w:left="120"/>
        <w:jc w:val="center"/>
      </w:pPr>
      <w:r>
        <w:rPr>
          <w:rFonts w:ascii="Times New Roman" w:hAnsi="Times New Roman"/>
          <w:b w:val="false"/>
          <w:i w:val="false"/>
          <w:color w:val="000000"/>
          <w:sz w:val="21"/>
        </w:rPr>
        <w:t>PRACTICE OF TATTOOING</w:t>
      </w:r>
    </w:p>
    <w:p>
      <w:pPr>
        <w:spacing w:before="0" w:after="0"/>
        <w:ind w:left="120"/>
        <w:jc w:val="center"/>
      </w:pPr>
      <w:r>
        <w:rPr>
          <w:rFonts w:ascii="Times New Roman" w:hAnsi="Times New Roman"/>
          <w:b w:val="false"/>
          <w:i w:val="false"/>
          <w:color w:val="000000"/>
          <w:sz w:val="20"/>
        </w:rPr>
        <w:t>[Prior to 4/2/25, see Public Health Department[641]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210" w:after="0"/>
        <w:ind w:left="120"/>
        <w:jc w:val="both"/>
      </w:pPr>
      <w:r>
        <w:rPr>
          <w:rFonts w:ascii="Times New Roman" w:hAnsi="Times New Roman"/>
          <w:b/>
          <w:i w:val="false"/>
          <w:color w:val="000000"/>
          <w:sz w:val="22"/>
        </w:rPr>
        <w:t>481—492.1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481—492.2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“Aftercare”</w:t>
      </w:r>
      <w:r>
        <w:rPr>
          <w:rFonts w:ascii="Times New Roman" w:hAnsi="Times New Roman"/>
          <w:b w:val="false"/>
          <w:i w:val="false"/>
          <w:color w:val="000000"/>
          <w:sz w:val="22"/>
        </w:rPr>
        <w:t> </w:t>
      </w:r>
      <w:r>
        <w:rPr>
          <w:rFonts w:ascii="Times New Roman" w:hAnsi="Times New Roman"/>
          <w:b w:val="false"/>
          <w:i w:val="false"/>
          <w:color w:val="000000"/>
          <w:sz w:val="22"/>
        </w:rPr>
        <w:t>means written instructions given to a client, specific to the procedures rendered, on care for the tattoo and surrounding area and guidance on when to seek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“Disinfectant”</w:t>
      </w:r>
      <w:r>
        <w:rPr>
          <w:rFonts w:ascii="Times New Roman" w:hAnsi="Times New Roman"/>
          <w:b w:val="false"/>
          <w:i w:val="false"/>
          <w:color w:val="000000"/>
          <w:sz w:val="22"/>
        </w:rPr>
        <w:t> </w:t>
      </w:r>
      <w:r>
        <w:rPr>
          <w:rFonts w:ascii="Times New Roman" w:hAnsi="Times New Roman"/>
          <w:b w:val="false"/>
          <w:i w:val="false"/>
          <w:color w:val="000000"/>
          <w:sz w:val="22"/>
        </w:rPr>
        <w:t>means a U.S. Environmental Protection Agency (EPA)-registered antimicrobial product that is applied to surfaces to destroy microorganisms that are living on the surface but not necessarily bacterial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“Imminent health threat”</w:t>
      </w:r>
      <w:r>
        <w:rPr>
          <w:rFonts w:ascii="Times New Roman" w:hAnsi="Times New Roman"/>
          <w:b w:val="false"/>
          <w:i w:val="false"/>
          <w:color w:val="000000"/>
          <w:sz w:val="22"/>
        </w:rPr>
        <w:t> </w:t>
      </w:r>
      <w:r>
        <w:rPr>
          <w:rFonts w:ascii="Times New Roman" w:hAnsi="Times New Roman"/>
          <w:b w:val="false"/>
          <w:i w:val="false"/>
          <w:color w:val="000000"/>
          <w:sz w:val="22"/>
        </w:rPr>
        <w:t>means a condition or conditions that exist in a tattoo establishment and need immediate action to prevent endangering the health of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“Impervious”</w:t>
      </w:r>
      <w:r>
        <w:rPr>
          <w:rFonts w:ascii="Times New Roman" w:hAnsi="Times New Roman"/>
          <w:b w:val="false"/>
          <w:i w:val="false"/>
          <w:color w:val="000000"/>
          <w:sz w:val="22"/>
        </w:rPr>
        <w:t> </w:t>
      </w:r>
      <w:r>
        <w:rPr>
          <w:rFonts w:ascii="Times New Roman" w:hAnsi="Times New Roman"/>
          <w:b w:val="false"/>
          <w:i w:val="false"/>
          <w:color w:val="000000"/>
          <w:sz w:val="22"/>
        </w:rPr>
        <w:t>means nonporous, impenetrable, smooth, and washable.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 agency”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or a city, county or district board of health that has executed an agreement with the department to inspect tattoo establishments and enforce these rules. The authority of a city, county or district board of health is limited to the geographic area defined in the agreement executed with the department. Within the defined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tattoo unit”</w:t>
      </w:r>
      <w:r>
        <w:rPr>
          <w:rFonts w:ascii="Times New Roman" w:hAnsi="Times New Roman"/>
          <w:b w:val="false"/>
          <w:i w:val="false"/>
          <w:color w:val="000000"/>
          <w:sz w:val="22"/>
        </w:rPr>
        <w:t> </w:t>
      </w:r>
      <w:r>
        <w:rPr>
          <w:rFonts w:ascii="Times New Roman" w:hAnsi="Times New Roman"/>
          <w:b w:val="false"/>
          <w:i w:val="false"/>
          <w:color w:val="000000"/>
          <w:sz w:val="22"/>
        </w:rPr>
        <w:t>means a mobile establishment or unit that is self-propelled or otherwise movable from place to place; is self-sufficient for utilities such as gas, water, electricity and liquid waste disposal; and operates at a fixed location where a permitted artist performs tattooing procedures for no more than 14 days in conjunction with a single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is a place or structure intended to be occupied as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use”</w:t>
      </w:r>
      <w:r>
        <w:rPr>
          <w:rFonts w:ascii="Times New Roman" w:hAnsi="Times New Roman"/>
          <w:b w:val="false"/>
          <w:i w:val="false"/>
          <w:color w:val="000000"/>
          <w:sz w:val="22"/>
        </w:rPr>
        <w:t> </w:t>
      </w:r>
      <w:r>
        <w:rPr>
          <w:rFonts w:ascii="Times New Roman" w:hAnsi="Times New Roman"/>
          <w:b w:val="false"/>
          <w:i w:val="false"/>
          <w:color w:val="000000"/>
          <w:sz w:val="22"/>
        </w:rPr>
        <w:t>means intended for one-time use and disposed of after use on a client. Single-use products or items include cotton swabs or balls, tissues or paper products, paper or plastic cups, gauze and sanitary coverings, disposable razors, tattoo needles, scalpel blades, stencils, ink cups, and protective gloves. Cloth towels and linens are not “single use” and are 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“Sterilization”</w:t>
      </w:r>
      <w:r>
        <w:rPr>
          <w:rFonts w:ascii="Times New Roman" w:hAnsi="Times New Roman"/>
          <w:b w:val="false"/>
          <w:i w:val="false"/>
          <w:color w:val="000000"/>
          <w:sz w:val="22"/>
        </w:rPr>
        <w:t> </w:t>
      </w:r>
      <w:r>
        <w:rPr>
          <w:rFonts w:ascii="Times New Roman" w:hAnsi="Times New Roman"/>
          <w:b w:val="false"/>
          <w:i w:val="false"/>
          <w:color w:val="000000"/>
          <w:sz w:val="22"/>
        </w:rPr>
        <w:t>means a process resulting in the destruction of all forms of microbial life, including highly resistant bacterial spores that demonstrate tuberculocidal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“Tattoo artist”</w:t>
      </w:r>
      <w:r>
        <w:rPr>
          <w:rFonts w:ascii="Times New Roman" w:hAnsi="Times New Roman"/>
          <w:b w:val="false"/>
          <w:i w:val="false"/>
          <w:color w:val="000000"/>
          <w:sz w:val="22"/>
        </w:rPr>
        <w:t> </w:t>
      </w:r>
      <w:r>
        <w:rPr>
          <w:rFonts w:ascii="Times New Roman" w:hAnsi="Times New Roman"/>
          <w:b w:val="false"/>
          <w:i w:val="false"/>
          <w:color w:val="000000"/>
          <w:sz w:val="22"/>
        </w:rPr>
        <w:t>means any person, including a permanent color technologist, engaged in the practice of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“Tattoo establishment”</w:t>
      </w:r>
      <w:r>
        <w:rPr>
          <w:rFonts w:ascii="Times New Roman" w:hAnsi="Times New Roman"/>
          <w:b w:val="false"/>
          <w:i w:val="false"/>
          <w:color w:val="000000"/>
          <w:sz w:val="22"/>
        </w:rPr>
        <w:t> </w:t>
      </w:r>
      <w:r>
        <w:rPr>
          <w:rFonts w:ascii="Times New Roman" w:hAnsi="Times New Roman"/>
          <w:b w:val="false"/>
          <w:i w:val="false"/>
          <w:color w:val="000000"/>
          <w:sz w:val="22"/>
        </w:rPr>
        <w:t>means the building or portion of the building designated by the owner where tattooing is practiced.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“Tattooing”</w:t>
      </w:r>
      <w:r>
        <w:rPr>
          <w:rFonts w:ascii="Times New Roman" w:hAnsi="Times New Roman"/>
          <w:b w:val="false"/>
          <w:i w:val="false"/>
          <w:color w:val="000000"/>
          <w:sz w:val="22"/>
        </w:rPr>
        <w:t> </w:t>
      </w:r>
      <w:r>
        <w:rPr>
          <w:rFonts w:ascii="Times New Roman" w:hAnsi="Times New Roman"/>
          <w:b w:val="false"/>
          <w:i w:val="false"/>
          <w:color w:val="000000"/>
          <w:sz w:val="22"/>
        </w:rPr>
        <w:t>means to puncture the skin of a person with a needle and insert indelible permanent colors through the puncture to leave permanent marks or designs. “Tattooing” includes permanent color technology that is the process by which the skin is marked or colored by insertion of nontoxic dyes or pigments into the dermis portion of the skin so as to form indelible marks for cosmetic purposes. “Tattooing” does not include applying a tattoo for radiological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establishment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by the department to perform tattoo procedures at a temporary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event”</w:t>
      </w:r>
      <w:r>
        <w:rPr>
          <w:rFonts w:ascii="Times New Roman" w:hAnsi="Times New Roman"/>
          <w:b w:val="false"/>
          <w:i w:val="false"/>
          <w:color w:val="000000"/>
          <w:sz w:val="22"/>
        </w:rPr>
        <w:t> </w:t>
      </w:r>
      <w:r>
        <w:rPr>
          <w:rFonts w:ascii="Times New Roman" w:hAnsi="Times New Roman"/>
          <w:b w:val="false"/>
          <w:i w:val="false"/>
          <w:color w:val="000000"/>
          <w:sz w:val="22"/>
        </w:rPr>
        <w:t>means any place or premises operating at a fixed location where a tattoo artist performs tattooing procedures for no more than 14 days consecutively in conjunction with a single event or celebration to which the general public is invited.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481—492.3</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492.3(1)</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 artists and tattoo establishments that fail to meet the criteria of Iowa Code section </w:t>
      </w:r>
      <w:hyperlink r:id="rId7">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these rules are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8">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and these rules does not exempt tattoo artists and tattoo establishments from other applicable state or local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492.3(3)</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Tattooing may only be practiced in facilities that have applied for and received a tattoo establishment permit pursuant to Iowa Code section </w:t>
      </w:r>
      <w:hyperlink r:id="rId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Tattooing performed in the practice of medicine by a physician, surgeon, osteopathic physician or surgeon, or other qualified licensed or certified nonphysician persons to whom a physician, surgeon, osteopathic physician or surgeon has appropriately delegated pursuant to </w:t>
      </w:r>
      <w:hyperlink r:id="rId10">
        <w:r>
          <w:rPr>
            <w:rStyle w:val="Hyperlink"/>
            <w:rFonts w:ascii="Times New Roman" w:hAnsi="Times New Roman"/>
            <w:b w:val="false"/>
            <w:i w:val="false"/>
            <w:color w:val="000000"/>
            <w:sz w:val="22"/>
          </w:rPr>
          <w:t>653—Chapter 13</w:t>
        </w:r>
      </w:hyperlink>
      <w:r>
        <w:rPr>
          <w:rFonts w:ascii="Times New Roman" w:hAnsi="Times New Roman"/>
          <w:b w:val="false"/>
          <w:i w:val="false"/>
          <w:color w:val="000000"/>
          <w:sz w:val="22"/>
        </w:rPr>
        <w:t xml:space="preserve"> does not require a permit pursuant to Iowa Code section </w:t>
      </w:r>
      <w:hyperlink r:id="rId11">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492.3(4)</w:t>
      </w:r>
      <w:r>
        <w:rPr>
          <w:rFonts w:ascii="Times New Roman" w:hAnsi="Times New Roman"/>
          <w:b w:val="false"/>
          <w:i w:val="false"/>
          <w:color w:val="000000"/>
          <w:sz w:val="22"/>
        </w:rPr>
        <w:t> </w:t>
      </w:r>
      <w:r>
        <w:rPr>
          <w:rFonts w:ascii="Times New Roman" w:hAnsi="Times New Roman"/>
          <w:b w:val="false"/>
          <w:i w:val="false"/>
          <w:color w:val="000000"/>
          <w:sz w:val="22"/>
        </w:rPr>
        <w:t>Notwithstanding local zoning codes, where zoning codes exist, tattooing shall not be practiced in a residential dwelling, inclusive of an attached garage. New tattoo establishments must be in commercial buildings where zoning ordinances exist. A waiver will be granted to any tattoo establishment in a residential dwelling if it has been operating continuously since being granted a permit prior to January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492.3(5)</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481—492.4</w:t>
      </w:r>
      <w:r>
        <w:rPr>
          <w:rFonts w:ascii="Times New Roman" w:hAnsi="Times New Roman"/>
          <w:b/>
          <w:i w:val="false"/>
          <w:color w:val="000000"/>
          <w:sz w:val="22"/>
        </w:rPr>
        <w:t xml:space="preserve">(10A) </w:t>
      </w:r>
      <w:r>
        <w:rPr>
          <w:rFonts w:ascii="Times New Roman" w:hAnsi="Times New Roman"/>
          <w:b/>
          <w:i w:val="false"/>
          <w:color w:val="000000"/>
          <w:sz w:val="22"/>
        </w:rPr>
        <w:t xml:space="preserve">Sanitation and infection control.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w:t>
      </w:r>
      <w:r>
        <w:rPr>
          <w:rFonts w:ascii="Times New Roman" w:hAnsi="Times New Roman"/>
          <w:b w:val="false"/>
          <w:i w:val="false"/>
          <w:color w:val="000000"/>
          <w:sz w:val="22"/>
        </w:rPr>
        <w:t> </w:t>
      </w:r>
      <w:r>
        <w:rPr>
          <w:rFonts w:ascii="Times New Roman" w:hAnsi="Times New Roman"/>
          <w:b w:val="false"/>
          <w:i w:val="false"/>
          <w:color w:val="000000"/>
          <w:sz w:val="22"/>
        </w:rPr>
        <w:t>Tables, chairs, and other general-use equipment in the tattoo area are constructed of impervious and easily cleanable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492.4(2)</w:t>
      </w:r>
      <w:r>
        <w:rPr>
          <w:rFonts w:ascii="Times New Roman" w:hAnsi="Times New Roman"/>
          <w:b w:val="false"/>
          <w:i w:val="false"/>
          <w:color w:val="000000"/>
          <w:sz w:val="22"/>
        </w:rPr>
        <w:t> </w:t>
      </w:r>
      <w:r>
        <w:rPr>
          <w:rFonts w:ascii="Times New Roman" w:hAnsi="Times New Roman"/>
          <w:b w:val="false"/>
          <w:i w:val="false"/>
          <w:color w:val="000000"/>
          <w:sz w:val="22"/>
        </w:rPr>
        <w:t>A sink for hand washing supplied with potable hot and cold running water under pressure to a mixing-type faucet is easily accessible in the tattooing area. Hand-washing facilities are supplied with liquid soap and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492.4(3)</w:t>
      </w:r>
      <w:r>
        <w:rPr>
          <w:rFonts w:ascii="Times New Roman" w:hAnsi="Times New Roman"/>
          <w:b w:val="false"/>
          <w:i w:val="false"/>
          <w:color w:val="000000"/>
          <w:sz w:val="22"/>
        </w:rPr>
        <w:t> </w:t>
      </w:r>
      <w:r>
        <w:rPr>
          <w:rFonts w:ascii="Times New Roman" w:hAnsi="Times New Roman"/>
          <w:b w:val="false"/>
          <w:i w:val="false"/>
          <w:color w:val="000000"/>
          <w:sz w:val="22"/>
        </w:rPr>
        <w:t>Easily accessible toilet facilities with a sink for hand washing are available for employee use and patron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492.4(4)</w:t>
      </w:r>
      <w:r>
        <w:rPr>
          <w:rFonts w:ascii="Times New Roman" w:hAnsi="Times New Roman"/>
          <w:b w:val="false"/>
          <w:i w:val="false"/>
          <w:color w:val="000000"/>
          <w:sz w:val="22"/>
        </w:rPr>
        <w:t> </w:t>
      </w:r>
      <w:r>
        <w:rPr>
          <w:rFonts w:ascii="Times New Roman" w:hAnsi="Times New Roman"/>
          <w:b w:val="false"/>
          <w:i w:val="false"/>
          <w:color w:val="000000"/>
          <w:sz w:val="22"/>
        </w:rPr>
        <w:t>The tattoo establishment has an area of at least 300 square feet and is adequately lighted and ventilated.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492.4(5)</w:t>
      </w:r>
      <w:r>
        <w:rPr>
          <w:rFonts w:ascii="Times New Roman" w:hAnsi="Times New Roman"/>
          <w:b w:val="false"/>
          <w:i w:val="false"/>
          <w:color w:val="000000"/>
          <w:sz w:val="22"/>
        </w:rPr>
        <w:t> </w:t>
      </w:r>
      <w:r>
        <w:rPr>
          <w:rFonts w:ascii="Times New Roman" w:hAnsi="Times New Roman"/>
          <w:b w:val="false"/>
          <w:i w:val="false"/>
          <w:color w:val="000000"/>
          <w:sz w:val="22"/>
        </w:rPr>
        <w:t>Floors in the tattoo area are finished with an impervious, washable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492.4(6)</w:t>
      </w:r>
      <w:r>
        <w:rPr>
          <w:rFonts w:ascii="Times New Roman" w:hAnsi="Times New Roman"/>
          <w:b w:val="false"/>
          <w:i w:val="false"/>
          <w:color w:val="000000"/>
          <w:sz w:val="22"/>
        </w:rPr>
        <w:t> </w:t>
      </w:r>
      <w:r>
        <w:rPr>
          <w:rFonts w:ascii="Times New Roman" w:hAnsi="Times New Roman"/>
          <w:b w:val="false"/>
          <w:i w:val="false"/>
          <w:color w:val="000000"/>
          <w:sz w:val="22"/>
        </w:rPr>
        <w:t>The entire premises and all facilities used in connection therewith are maintained in a clean, sanitary, vermin-free condition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492.4(7)</w:t>
      </w:r>
      <w:r>
        <w:rPr>
          <w:rFonts w:ascii="Times New Roman" w:hAnsi="Times New Roman"/>
          <w:b w:val="false"/>
          <w:i w:val="false"/>
          <w:color w:val="000000"/>
          <w:sz w:val="22"/>
        </w:rPr>
        <w:t> </w:t>
      </w:r>
      <w:r>
        <w:rPr>
          <w:rFonts w:ascii="Times New Roman" w:hAnsi="Times New Roman"/>
          <w:b w:val="false"/>
          <w:i w:val="false"/>
          <w:color w:val="000000"/>
          <w:sz w:val="22"/>
        </w:rPr>
        <w:t>All refuse is stored in rigid containers with plastic liners that are emptied at least once each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492.4(8)</w:t>
      </w:r>
      <w:r>
        <w:rPr>
          <w:rFonts w:ascii="Times New Roman" w:hAnsi="Times New Roman"/>
          <w:b w:val="false"/>
          <w:i w:val="false"/>
          <w:color w:val="000000"/>
          <w:sz w:val="22"/>
        </w:rPr>
        <w:t> </w:t>
      </w:r>
      <w:r>
        <w:rPr>
          <w:rFonts w:ascii="Times New Roman" w:hAnsi="Times New Roman"/>
          <w:b w:val="false"/>
          <w:i w:val="false"/>
          <w:color w:val="000000"/>
          <w:sz w:val="22"/>
        </w:rPr>
        <w:t>Closed cabinets or containers are exclusively used for the storage of instruments, dyes, pigments, stencils, tattoo machines, and other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492.4(9)</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is not allowed pursuant to Iowa Code chapter </w:t>
      </w:r>
      <w:hyperlink r:id="rId1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492.4(10)</w:t>
      </w:r>
      <w:r>
        <w:rPr>
          <w:rFonts w:ascii="Times New Roman" w:hAnsi="Times New Roman"/>
          <w:b w:val="false"/>
          <w:i w:val="false"/>
          <w:color w:val="000000"/>
          <w:sz w:val="22"/>
        </w:rPr>
        <w:t> </w:t>
      </w:r>
      <w:r>
        <w:rPr>
          <w:rFonts w:ascii="Times New Roman" w:hAnsi="Times New Roman"/>
          <w:b w:val="false"/>
          <w:i w:val="false"/>
          <w:color w:val="000000"/>
          <w:sz w:val="22"/>
        </w:rPr>
        <w:t>Consumption of food or drink is not allowed in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492.4(11)</w:t>
      </w:r>
      <w:r>
        <w:rPr>
          <w:rFonts w:ascii="Times New Roman" w:hAnsi="Times New Roman"/>
          <w:b w:val="false"/>
          <w:i w:val="false"/>
          <w:color w:val="000000"/>
          <w:sz w:val="22"/>
        </w:rPr>
        <w:t> </w:t>
      </w:r>
      <w:r>
        <w:rPr>
          <w:rFonts w:ascii="Times New Roman" w:hAnsi="Times New Roman"/>
          <w:b w:val="false"/>
          <w:i w:val="false"/>
          <w:color w:val="000000"/>
          <w:sz w:val="22"/>
        </w:rPr>
        <w:t>Intoxicating beverages or controlled substances will not be used, consumed, served, possessed, or distributed on the establishment’s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492.4(12)</w:t>
      </w:r>
      <w:r>
        <w:rPr>
          <w:rFonts w:ascii="Times New Roman" w:hAnsi="Times New Roman"/>
          <w:b w:val="false"/>
          <w:i w:val="false"/>
          <w:color w:val="000000"/>
          <w:sz w:val="22"/>
        </w:rPr>
        <w:t> </w:t>
      </w:r>
      <w:r>
        <w:rPr>
          <w:rFonts w:ascii="Times New Roman" w:hAnsi="Times New Roman"/>
          <w:b w:val="false"/>
          <w:i w:val="false"/>
          <w:color w:val="000000"/>
          <w:sz w:val="22"/>
        </w:rPr>
        <w:t>Tattoo artists not currently permitted in the state of Iowa will not tattoo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492.4(13)</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permitted in a tattoo establishment. Aquariums containing fish are allowed in waiting rooms and non-tattoo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481—492.5</w:t>
      </w:r>
      <w:r>
        <w:rPr>
          <w:rFonts w:ascii="Times New Roman" w:hAnsi="Times New Roman"/>
          <w:b/>
          <w:i w:val="false"/>
          <w:color w:val="000000"/>
          <w:sz w:val="22"/>
        </w:rPr>
        <w:t xml:space="preserve">(10A) </w:t>
      </w:r>
      <w:r>
        <w:rPr>
          <w:rFonts w:ascii="Times New Roman" w:hAnsi="Times New Roman"/>
          <w:b/>
          <w:i w:val="false"/>
          <w:color w:val="000000"/>
          <w:sz w:val="22"/>
        </w:rPr>
        <w:t xml:space="preserve">Equipment. </w:t>
      </w:r>
      <w:r>
        <w:rPr>
          <w:rFonts w:ascii="Times New Roman" w:hAnsi="Times New Roman"/>
          <w:b w:val="false"/>
          <w:i w:val="false"/>
          <w:color w:val="000000"/>
          <w:sz w:val="22"/>
        </w:rPr>
        <w:t>Tattoo establishments shall maintain equipment in a clean and sanitary condition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492.5(1)</w:t>
      </w:r>
      <w:r>
        <w:rPr>
          <w:rFonts w:ascii="Times New Roman" w:hAnsi="Times New Roman"/>
          <w:b w:val="false"/>
          <w:i w:val="false"/>
          <w:color w:val="000000"/>
          <w:sz w:val="22"/>
        </w:rPr>
        <w:t> </w:t>
      </w:r>
      <w:r>
        <w:rPr>
          <w:rFonts w:ascii="Times New Roman" w:hAnsi="Times New Roman"/>
          <w:b w:val="false"/>
          <w:i w:val="false"/>
          <w:color w:val="000000"/>
          <w:sz w:val="22"/>
        </w:rPr>
        <w:t>Cups to hold ink or dye are for single-patron use. Any ink or dye, once dispensed into an ink cup, is disposed of immediately following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492.5(2)</w:t>
      </w:r>
      <w:r>
        <w:rPr>
          <w:rFonts w:ascii="Times New Roman" w:hAnsi="Times New Roman"/>
          <w:b w:val="false"/>
          <w:i w:val="false"/>
          <w:color w:val="000000"/>
          <w:sz w:val="22"/>
        </w:rPr>
        <w:t> </w:t>
      </w:r>
      <w:r>
        <w:rPr>
          <w:rFonts w:ascii="Times New Roman" w:hAnsi="Times New Roman"/>
          <w:b w:val="false"/>
          <w:i w:val="false"/>
          <w:color w:val="000000"/>
          <w:sz w:val="22"/>
        </w:rPr>
        <w:t>Any dye or ink in which needles were dipped is not used on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492.5(3)</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sterile, not for single-patron use, and not disposable are physically cleaned with a detergent according to manufacturers’ recommendations and then steam-sterilized or dry-heat sterilized before use on another person. Steam sterilization is at 250 degrees Fahrenheit (121 degrees Celsius) for 15 minutes at a minimum pressure of 15 pounds per square inch. Dry-heat sterilization is at 350 degrees Fahrenheit (170 degrees Celsius) for one hour. Steam sterilization is preferred.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492.5(4)</w:t>
      </w:r>
      <w:r>
        <w:rPr>
          <w:rFonts w:ascii="Times New Roman" w:hAnsi="Times New Roman"/>
          <w:b w:val="false"/>
          <w:i w:val="false"/>
          <w:color w:val="000000"/>
          <w:sz w:val="22"/>
        </w:rPr>
        <w:t> </w:t>
      </w:r>
      <w:r>
        <w:rPr>
          <w:rFonts w:ascii="Times New Roman" w:hAnsi="Times New Roman"/>
          <w:b w:val="false"/>
          <w:i w:val="false"/>
          <w:color w:val="000000"/>
          <w:sz w:val="22"/>
        </w:rPr>
        <w:t>All instruments needing sterilization are sterilized on site. All instruments to be sterilized are placed in closed pouches after sterilization is complete. The pouches are dated effective for 30 days, after which the instruments are resterilized and the pouches redated.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492.5(5)</w:t>
      </w:r>
      <w:r>
        <w:rPr>
          <w:rFonts w:ascii="Times New Roman" w:hAnsi="Times New Roman"/>
          <w:b w:val="false"/>
          <w:i w:val="false"/>
          <w:color w:val="000000"/>
          <w:sz w:val="22"/>
        </w:rPr>
        <w:t> </w:t>
      </w:r>
      <w:r>
        <w:rPr>
          <w:rFonts w:ascii="Times New Roman" w:hAnsi="Times New Roman"/>
          <w:b w:val="false"/>
          <w:i w:val="false"/>
          <w:color w:val="000000"/>
          <w:sz w:val="22"/>
        </w:rPr>
        <w:t>Sterilizers are monitored monthly for spores of Bacillus subtilis, and records of results are maintained for three years. Written procedures to follow in the event of positive spore tests are maintained and implemented,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of a positive spore test, materials processed in that sterilizer, dating from the sterilization cycle having the positive biological indicator to the next cycle showing satisfactory biologic indicator challenge results, are considered nonsterile and are reprocessed before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sterilizer that has received a positive spore test is immediately removed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putting a sterilizer that has received a positive spore test back into service, the owner ensures that there is evidence of one negative spore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notifies the inspection agency of a positive spore test within 24 hours of receiving the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492.5(6)</w:t>
      </w:r>
      <w:r>
        <w:rPr>
          <w:rFonts w:ascii="Times New Roman" w:hAnsi="Times New Roman"/>
          <w:b w:val="false"/>
          <w:i w:val="false"/>
          <w:color w:val="000000"/>
          <w:sz w:val="22"/>
        </w:rPr>
        <w:t> </w:t>
      </w:r>
      <w:r>
        <w:rPr>
          <w:rFonts w:ascii="Times New Roman" w:hAnsi="Times New Roman"/>
          <w:b w:val="false"/>
          <w:i w:val="false"/>
          <w:color w:val="000000"/>
          <w:sz w:val="22"/>
        </w:rPr>
        <w:t>Establishments are equipped with a puncture-resistant, leakproof container designated for disposal of used needles and other sharps. The container is red and labeled with the “biohazard” symbol and is closeable for handling, storage, transportation, and disposal. A written plan for disposal is maintained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492.5(7)</w:t>
      </w:r>
      <w:r>
        <w:rPr>
          <w:rFonts w:ascii="Times New Roman" w:hAnsi="Times New Roman"/>
          <w:b w:val="false"/>
          <w:i w:val="false"/>
          <w:color w:val="000000"/>
          <w:sz w:val="22"/>
        </w:rPr>
        <w:t> </w:t>
      </w:r>
      <w:r>
        <w:rPr>
          <w:rFonts w:ascii="Times New Roman" w:hAnsi="Times New Roman"/>
          <w:b w:val="false"/>
          <w:i w:val="false"/>
          <w:color w:val="000000"/>
          <w:sz w:val="22"/>
        </w:rPr>
        <w:t>Any bottles of solution are labeled as to contents and used according to manufacturers’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492.5(8)</w:t>
      </w:r>
      <w:r>
        <w:rPr>
          <w:rFonts w:ascii="Times New Roman" w:hAnsi="Times New Roman"/>
          <w:b w:val="false"/>
          <w:i w:val="false"/>
          <w:color w:val="000000"/>
          <w:sz w:val="22"/>
        </w:rPr>
        <w:t> </w:t>
      </w:r>
      <w:r>
        <w:rPr>
          <w:rFonts w:ascii="Times New Roman" w:hAnsi="Times New Roman"/>
          <w:b w:val="false"/>
          <w:i w:val="false"/>
          <w:color w:val="000000"/>
          <w:sz w:val="22"/>
        </w:rPr>
        <w:t>Single-use razors for removal of unwanted hair are disposed of after use on one patron. Electric razors used to remove unwanted hair of a patron are cleaned with a brush and fungicidal/tuberculocidal disinfectant spray.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492.5(9)</w:t>
      </w:r>
      <w:r>
        <w:rPr>
          <w:rFonts w:ascii="Times New Roman" w:hAnsi="Times New Roman"/>
          <w:b w:val="false"/>
          <w:i w:val="false"/>
          <w:color w:val="000000"/>
          <w:sz w:val="22"/>
        </w:rPr>
        <w:t> </w:t>
      </w:r>
      <w:r>
        <w:rPr>
          <w:rFonts w:ascii="Times New Roman" w:hAnsi="Times New Roman"/>
          <w:b w:val="false"/>
          <w:i w:val="false"/>
          <w:color w:val="000000"/>
          <w:sz w:val="22"/>
        </w:rPr>
        <w:t>Topical ointments are prepared for single-patron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481—492.6</w:t>
      </w:r>
      <w:r>
        <w:rPr>
          <w:rFonts w:ascii="Times New Roman" w:hAnsi="Times New Roman"/>
          <w:b/>
          <w:i w:val="false"/>
          <w:color w:val="000000"/>
          <w:sz w:val="22"/>
        </w:rPr>
        <w:t xml:space="preserve">(10A) </w:t>
      </w:r>
      <w:r>
        <w:rPr>
          <w:rFonts w:ascii="Times New Roman" w:hAnsi="Times New Roman"/>
          <w:b/>
          <w:i w:val="false"/>
          <w:color w:val="000000"/>
          <w:sz w:val="22"/>
        </w:rPr>
        <w:t xml:space="preserve">Procedures.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492.6(1)</w:t>
      </w:r>
      <w:r>
        <w:rPr>
          <w:rFonts w:ascii="Times New Roman" w:hAnsi="Times New Roman"/>
          <w:b w:val="false"/>
          <w:i w:val="false"/>
          <w:color w:val="000000"/>
          <w:sz w:val="22"/>
        </w:rPr>
        <w:t> </w:t>
      </w:r>
      <w:r>
        <w:rPr>
          <w:rFonts w:ascii="Times New Roman" w:hAnsi="Times New Roman"/>
          <w:b w:val="false"/>
          <w:i w:val="false"/>
          <w:color w:val="000000"/>
          <w:sz w:val="22"/>
        </w:rPr>
        <w:t>Tattoo establishments will establish a written standard operating procedure (SOP) that includes the process for setup and tear down of tattoo procedures. The SOP focuses on procedures of hygiene and cross-contamination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privacy purposes and at the patron’s request, establishments have in place or readily available a nontransparent panel or other barrier of sufficient height and width to effectively separate the patron from any unwanted observers or waiting 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492.6(3)</w:t>
      </w:r>
      <w:r>
        <w:rPr>
          <w:rFonts w:ascii="Times New Roman" w:hAnsi="Times New Roman"/>
          <w:b w:val="false"/>
          <w:i w:val="false"/>
          <w:color w:val="000000"/>
          <w:sz w:val="22"/>
        </w:rPr>
        <w:t> </w:t>
      </w:r>
      <w:r>
        <w:rPr>
          <w:rFonts w:ascii="Times New Roman" w:hAnsi="Times New Roman"/>
          <w:b w:val="false"/>
          <w:i w:val="false"/>
          <w:color w:val="000000"/>
          <w:sz w:val="22"/>
        </w:rPr>
        <w:t>Tattoo artists scrub their hands thoroughly before beginning the tattoo procedure. Tattoo artists dry their hands with individual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492.6(4)</w:t>
      </w:r>
      <w:r>
        <w:rPr>
          <w:rFonts w:ascii="Times New Roman" w:hAnsi="Times New Roman"/>
          <w:b w:val="false"/>
          <w:i w:val="false"/>
          <w:color w:val="000000"/>
          <w:sz w:val="22"/>
        </w:rPr>
        <w:t> </w:t>
      </w:r>
      <w:r>
        <w:rPr>
          <w:rFonts w:ascii="Times New Roman" w:hAnsi="Times New Roman"/>
          <w:b w:val="false"/>
          <w:i w:val="false"/>
          <w:color w:val="000000"/>
          <w:sz w:val="22"/>
        </w:rPr>
        <w:t>Tattoo artists wear clean garments and disposable latex, nitrile, chloroprene, or vinyl gloves during the tattoo procedure. Gloves are changed after each tattoo. Tattoo artists wash their hands before and after each tattoo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492.6(5)</w:t>
      </w:r>
      <w:r>
        <w:rPr>
          <w:rFonts w:ascii="Times New Roman" w:hAnsi="Times New Roman"/>
          <w:b w:val="false"/>
          <w:i w:val="false"/>
          <w:color w:val="000000"/>
          <w:sz w:val="22"/>
        </w:rPr>
        <w:t> </w:t>
      </w:r>
      <w:r>
        <w:rPr>
          <w:rFonts w:ascii="Times New Roman" w:hAnsi="Times New Roman"/>
          <w:b w:val="false"/>
          <w:i w:val="false"/>
          <w:color w:val="000000"/>
          <w:sz w:val="22"/>
        </w:rPr>
        <w:t>All items with which the gloved hands of the tattoo artist would normally come into contact during the tattooing procedure have appropriate barrier films covering them, including clip cords, squeeze bottles, seat adjustment controls, power control dials or buttons, and work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492.6(6)</w:t>
      </w:r>
      <w:r>
        <w:rPr>
          <w:rFonts w:ascii="Times New Roman" w:hAnsi="Times New Roman"/>
          <w:b w:val="false"/>
          <w:i w:val="false"/>
          <w:color w:val="000000"/>
          <w:sz w:val="22"/>
        </w:rPr>
        <w:t> </w:t>
      </w:r>
      <w:r>
        <w:rPr>
          <w:rFonts w:ascii="Times New Roman" w:hAnsi="Times New Roman"/>
          <w:b w:val="false"/>
          <w:i w:val="false"/>
          <w:color w:val="000000"/>
          <w:sz w:val="22"/>
        </w:rPr>
        <w:t>The skin area to be tattooed is first cleansed with soap and water. Single-use towels or sponges (gauze) are used during the cleansing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492.6(7)</w:t>
      </w:r>
      <w:r>
        <w:rPr>
          <w:rFonts w:ascii="Times New Roman" w:hAnsi="Times New Roman"/>
          <w:b w:val="false"/>
          <w:i w:val="false"/>
          <w:color w:val="000000"/>
          <w:sz w:val="22"/>
        </w:rPr>
        <w:t> </w:t>
      </w:r>
      <w:r>
        <w:rPr>
          <w:rFonts w:ascii="Times New Roman" w:hAnsi="Times New Roman"/>
          <w:b w:val="false"/>
          <w:i w:val="false"/>
          <w:color w:val="000000"/>
          <w:sz w:val="22"/>
        </w:rPr>
        <w:t>Before placing the tattoo design on the patron’s skin, the tattoo artist prepares the skin with 70 percent ethyl or isopropyl alcohol solution or an equally effective antiseptic or antimicrobial.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492.6(8)</w:t>
      </w:r>
      <w:r>
        <w:rPr>
          <w:rFonts w:ascii="Times New Roman" w:hAnsi="Times New Roman"/>
          <w:b w:val="false"/>
          <w:i w:val="false"/>
          <w:color w:val="000000"/>
          <w:sz w:val="22"/>
        </w:rPr>
        <w:t> </w:t>
      </w:r>
      <w:r>
        <w:rPr>
          <w:rFonts w:ascii="Times New Roman" w:hAnsi="Times New Roman"/>
          <w:b w:val="false"/>
          <w:i w:val="false"/>
          <w:color w:val="000000"/>
          <w:sz w:val="22"/>
        </w:rPr>
        <w:t>Tattooing is not performed on any area where there is evidence of skin infection, irritation, or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492.6(9)</w:t>
      </w:r>
      <w:r>
        <w:rPr>
          <w:rFonts w:ascii="Times New Roman" w:hAnsi="Times New Roman"/>
          <w:b w:val="false"/>
          <w:i w:val="false"/>
          <w:color w:val="000000"/>
          <w:sz w:val="22"/>
        </w:rPr>
        <w:t> </w:t>
      </w:r>
      <w:r>
        <w:rPr>
          <w:rFonts w:ascii="Times New Roman" w:hAnsi="Times New Roman"/>
          <w:b w:val="false"/>
          <w:i w:val="false"/>
          <w:color w:val="000000"/>
          <w:sz w:val="22"/>
        </w:rPr>
        <w:t>After the tattooing is completed, the tattoo artist: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Applies an adequate dressing or bandage to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to the persons tattooed printed aftercare instructions regarding tattoo care during the healing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Thoroughly cleans the machine head with an acceptable disinfectant and sprays an acceptable surface disinfectant over the work area during the clean-up procedures before the area is set up for the next tattoo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481—492.7</w:t>
      </w:r>
      <w:r>
        <w:rPr>
          <w:rFonts w:ascii="Times New Roman" w:hAnsi="Times New Roman"/>
          <w:b/>
          <w:i w:val="false"/>
          <w:color w:val="000000"/>
          <w:sz w:val="22"/>
        </w:rPr>
        <w:t xml:space="preserve">(10A) </w:t>
      </w:r>
      <w:r>
        <w:rPr>
          <w:rFonts w:ascii="Times New Roman" w:hAnsi="Times New Roman"/>
          <w:b/>
          <w:i w:val="false"/>
          <w:color w:val="000000"/>
          <w:sz w:val="22"/>
        </w:rPr>
        <w:t xml:space="preserve">Permit issuance and renewal. </w:t>
      </w:r>
      <w:r>
        <w:rPr>
          <w:rFonts w:ascii="Times New Roman" w:hAnsi="Times New Roman"/>
          <w:b w:val="false"/>
          <w:i w:val="false"/>
          <w:color w:val="000000"/>
          <w:sz w:val="22"/>
        </w:rPr>
        <w:t>The following apply to applications for a permit to practice as a tattoo artist or as a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complete either an online application or a paper application according to the instructions contained in the application. Paper applications are available to download at the department’s website. Each application must be accompanied by the appropriate fee as set forth in subrule </w:t>
      </w:r>
      <w:hyperlink r:id="rId13">
        <w:r>
          <w:rPr>
            <w:rStyle w:val="Hyperlink"/>
            <w:rFonts w:ascii="Times New Roman" w:hAnsi="Times New Roman"/>
            <w:b w:val="false"/>
            <w:i w:val="false"/>
            <w:color w:val="000000"/>
            <w:sz w:val="22"/>
          </w:rPr>
          <w:t>492.8(2)</w:t>
        </w:r>
      </w:hyperlink>
      <w:r>
        <w:rPr>
          <w:rFonts w:ascii="Times New Roman" w:hAnsi="Times New Roman"/>
          <w:b w:val="false"/>
          <w:i w:val="false"/>
          <w:color w:val="000000"/>
          <w:sz w:val="22"/>
        </w:rPr>
        <w:t xml:space="preserve"> to be processed. A paper application is accompanied by the appropriate fee payable by check or money order to the department. Online application fees are paid by credit card only. An application that includes insufficient or incorrect fees is considered incomplete. If the applicant is notified that the application is incomplete, the applicant should contact the department within 90 days. Incomplete applications are considered invalid and destroyed after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492.7(2)</w:t>
      </w:r>
      <w:r>
        <w:rPr>
          <w:rFonts w:ascii="Times New Roman" w:hAnsi="Times New Roman"/>
          <w:b w:val="false"/>
          <w:i w:val="false"/>
          <w:color w:val="000000"/>
          <w:sz w:val="22"/>
        </w:rPr>
        <w:t> </w:t>
      </w:r>
      <w:r>
        <w:rPr>
          <w:rFonts w:ascii="Times New Roman" w:hAnsi="Times New Roman"/>
          <w:b w:val="false"/>
          <w:i w:val="false"/>
          <w:color w:val="000000"/>
          <w:sz w:val="22"/>
        </w:rPr>
        <w:t>Documentation of medical conditions and criminal convictions related to the practice of the profession shall include a full explanation from the applicant. No application is considered complete until the applicant responds to any program requests for additional information regarding the applicant’s medical condition or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492.7(3)</w:t>
      </w:r>
      <w:r>
        <w:rPr>
          <w:rFonts w:ascii="Times New Roman" w:hAnsi="Times New Roman"/>
          <w:b w:val="false"/>
          <w:i w:val="false"/>
          <w:color w:val="000000"/>
          <w:sz w:val="22"/>
        </w:rPr>
        <w:t> </w:t>
      </w:r>
      <w:r>
        <w:rPr>
          <w:rFonts w:ascii="Times New Roman" w:hAnsi="Times New Roman"/>
          <w:b w:val="false"/>
          <w:i w:val="false"/>
          <w:color w:val="000000"/>
          <w:sz w:val="22"/>
        </w:rPr>
        <w:t>All permits expire on December 31 for the year issued. An applicant will submit a completed application, supporting documentation, and renewal fee annually by December 1 for renewal. The permit holder has a current permit in possession before performing tattooing. An applicant who submits a renewal application after December 1 will be obligated to pay an additional $25 for each month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492.7(4)</w:t>
      </w:r>
      <w:r>
        <w:rPr>
          <w:rFonts w:ascii="Times New Roman" w:hAnsi="Times New Roman"/>
          <w:b w:val="false"/>
          <w:i w:val="false"/>
          <w:color w:val="000000"/>
          <w:sz w:val="22"/>
        </w:rPr>
        <w:t> </w:t>
      </w:r>
      <w:r>
        <w:rPr>
          <w:rFonts w:ascii="Times New Roman" w:hAnsi="Times New Roman"/>
          <w:b w:val="false"/>
          <w:i w:val="false"/>
          <w:color w:val="000000"/>
          <w:sz w:val="22"/>
        </w:rPr>
        <w:t>The permit holder is responsible for renewing the permit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492.7(5)</w:t>
      </w:r>
      <w:r>
        <w:rPr>
          <w:rFonts w:ascii="Times New Roman" w:hAnsi="Times New Roman"/>
          <w:b w:val="false"/>
          <w:i w:val="false"/>
          <w:color w:val="000000"/>
          <w:sz w:val="22"/>
        </w:rPr>
        <w:t> </w:t>
      </w:r>
      <w:r>
        <w:rPr>
          <w:rFonts w:ascii="Times New Roman" w:hAnsi="Times New Roman"/>
          <w:b w:val="false"/>
          <w:i w:val="false"/>
          <w:color w:val="000000"/>
          <w:sz w:val="22"/>
        </w:rPr>
        <w:t>A permit that has not been renewed within 90 days of the permit expiration date will automatically be deactivated. There will be a $25 reinstatement fee charged for reactivating a permit in addition to the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481—492.8</w:t>
      </w:r>
      <w:r>
        <w:rPr>
          <w:rFonts w:ascii="Times New Roman" w:hAnsi="Times New Roman"/>
          <w:b/>
          <w:i w:val="false"/>
          <w:color w:val="000000"/>
          <w:sz w:val="22"/>
        </w:rPr>
        <w:t xml:space="preserve">(10A)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492.8(1)</w:t>
      </w:r>
      <w:r>
        <w:rPr>
          <w:rFonts w:ascii="Times New Roman" w:hAnsi="Times New Roman"/>
          <w:b w:val="false"/>
          <w:i w:val="false"/>
          <w:color w:val="000000"/>
          <w:sz w:val="22"/>
        </w:rPr>
        <w:t>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492.8(2)</w:t>
      </w:r>
      <w:r>
        <w:rPr>
          <w:rFonts w:ascii="Times New Roman" w:hAnsi="Times New Roman"/>
          <w:b w:val="false"/>
          <w:i w:val="false"/>
          <w:color w:val="000000"/>
          <w:sz w:val="22"/>
        </w:rPr>
        <w:t> </w:t>
      </w:r>
      <w:r>
        <w:rPr>
          <w:rFonts w:ascii="Times New Roman" w:hAnsi="Times New Roman"/>
          <w:b w:val="false"/>
          <w:i w:val="false"/>
          <w:color w:val="000000"/>
          <w:sz w:val="22"/>
        </w:rPr>
        <w:t>Fees for all initial and renewal applications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Tattoo artist: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Tattoo establishment: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 to 10 participating artists: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11 to 100 participating artists: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101 or more participating artists: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Mobile tattoo unit: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Mobile tattoo event: $25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ownership: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location: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Mobile tattoo unit change of location: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481—492.9</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492.9(1)</w:t>
      </w:r>
      <w:r>
        <w:rPr>
          <w:rFonts w:ascii="Times New Roman" w:hAnsi="Times New Roman"/>
          <w:b w:val="false"/>
          <w:i w:val="false"/>
          <w:color w:val="000000"/>
          <w:sz w:val="22"/>
        </w:rPr>
        <w:t> </w:t>
      </w:r>
      <w:r>
        <w:rPr>
          <w:rFonts w:ascii="Times New Roman" w:hAnsi="Times New Roman"/>
          <w:b w:val="false"/>
          <w:i w:val="false"/>
          <w:color w:val="000000"/>
          <w:sz w:val="22"/>
        </w:rPr>
        <w:t>No tattoo establishment may operate in the state without having a permit to operate issued by the department. Permits shall be posted in a conspicuous location in the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492.9(2)</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tattoo establishment permit will submit a floor plan of the establishment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492.9(3)</w:t>
      </w:r>
      <w:r>
        <w:rPr>
          <w:rFonts w:ascii="Times New Roman" w:hAnsi="Times New Roman"/>
          <w:b w:val="false"/>
          <w:i w:val="false"/>
          <w:color w:val="000000"/>
          <w:sz w:val="22"/>
        </w:rPr>
        <w:t> </w:t>
      </w:r>
      <w:r>
        <w:rPr>
          <w:rFonts w:ascii="Times New Roman" w:hAnsi="Times New Roman"/>
          <w:b w:val="false"/>
          <w:i w:val="false"/>
          <w:color w:val="000000"/>
          <w:sz w:val="22"/>
        </w:rPr>
        <w:t>A permit to operate is issued to a new establishment when the department or its representative has successfully completed an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492.9(4)</w:t>
      </w:r>
      <w:r>
        <w:rPr>
          <w:rFonts w:ascii="Times New Roman" w:hAnsi="Times New Roman"/>
          <w:b w:val="false"/>
          <w:i w:val="false"/>
          <w:color w:val="000000"/>
          <w:sz w:val="22"/>
        </w:rPr>
        <w:t> </w:t>
      </w:r>
      <w:r>
        <w:rPr>
          <w:rFonts w:ascii="Times New Roman" w:hAnsi="Times New Roman"/>
          <w:b w:val="false"/>
          <w:i w:val="false"/>
          <w:color w:val="000000"/>
          <w:sz w:val="22"/>
        </w:rPr>
        <w:t>Tattoo establishment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492.9(5)</w:t>
      </w:r>
      <w:r>
        <w:rPr>
          <w:rFonts w:ascii="Times New Roman" w:hAnsi="Times New Roman"/>
          <w:b w:val="false"/>
          <w:i w:val="false"/>
          <w:color w:val="000000"/>
          <w:sz w:val="22"/>
        </w:rPr>
        <w:t> </w:t>
      </w:r>
      <w:r>
        <w:rPr>
          <w:rFonts w:ascii="Times New Roman" w:hAnsi="Times New Roman"/>
          <w:b w:val="false"/>
          <w:i w:val="false"/>
          <w:color w:val="000000"/>
          <w:sz w:val="22"/>
        </w:rPr>
        <w:t>A tattoo establishment shall retain a record of all persons who have had tattoo procedures performed at the establishment. Records include the client’s name and date of birth, copy of client’s identification, date of the procedure, name of the tattoo artist who performed the procedure(s), and signature of client. Records shall be retained in a confidential manner for a minimum of three years and made available to the department or inspection agency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in ownership. Within 30 days of a change in ownership of a tattoo establishment, the new owner shall submit a change in ownership application and fee for a new permit. An on-site inspection will be completed before a permit to operate will be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492.9(7)</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change of location of a tattoo establishment, the owner shall submit a change of location application and a fee for a new permit. An on-site inspection will be completed by the inspection agency before a permit to operate will be issued.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481—492.10</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artist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perform tattooing without a current permit to operate issued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492.10(2)</w:t>
      </w:r>
      <w:r>
        <w:rPr>
          <w:rFonts w:ascii="Times New Roman" w:hAnsi="Times New Roman"/>
          <w:b w:val="false"/>
          <w:i w:val="false"/>
          <w:color w:val="000000"/>
          <w:sz w:val="22"/>
        </w:rPr>
        <w:t> </w:t>
      </w:r>
      <w:r>
        <w:rPr>
          <w:rFonts w:ascii="Times New Roman" w:hAnsi="Times New Roman"/>
          <w:b w:val="false"/>
          <w:i w:val="false"/>
          <w:color w:val="000000"/>
          <w:sz w:val="22"/>
        </w:rPr>
        <w:t>Each permit issued is in effect solely for the tattoo artist named thereon and remains with the tattoo artist upon any change of employment. Tattoo artist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492.10(3)</w:t>
      </w:r>
      <w:r>
        <w:rPr>
          <w:rFonts w:ascii="Times New Roman" w:hAnsi="Times New Roman"/>
          <w:b w:val="false"/>
          <w:i w:val="false"/>
          <w:color w:val="000000"/>
          <w:sz w:val="22"/>
        </w:rPr>
        <w:t> </w:t>
      </w:r>
      <w:r>
        <w:rPr>
          <w:rFonts w:ascii="Times New Roman" w:hAnsi="Times New Roman"/>
          <w:b w:val="false"/>
          <w:i w:val="false"/>
          <w:color w:val="000000"/>
          <w:sz w:val="22"/>
        </w:rPr>
        <w:t>An applicant for a tattoo artist permit must be at least 18 years of age and submit government-issued documentation to show proof of attaining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492.10(4)</w:t>
      </w:r>
      <w:r>
        <w:rPr>
          <w:rFonts w:ascii="Times New Roman" w:hAnsi="Times New Roman"/>
          <w:b w:val="false"/>
          <w:i w:val="false"/>
          <w:color w:val="000000"/>
          <w:sz w:val="22"/>
        </w:rPr>
        <w:t> </w:t>
      </w:r>
      <w:r>
        <w:rPr>
          <w:rFonts w:ascii="Times New Roman" w:hAnsi="Times New Roman"/>
          <w:b w:val="false"/>
          <w:i w:val="false"/>
          <w:color w:val="000000"/>
          <w:sz w:val="22"/>
        </w:rPr>
        <w:t>A tattoo artist must provide proof of current certification by the American Red Cross for blood-borne pathogens and standard first aid or other equivalent, nationally recognized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492.10(5)</w:t>
      </w:r>
      <w:r>
        <w:rPr>
          <w:rFonts w:ascii="Times New Roman" w:hAnsi="Times New Roman"/>
          <w:b w:val="false"/>
          <w:i w:val="false"/>
          <w:color w:val="000000"/>
          <w:sz w:val="22"/>
        </w:rPr>
        <w:t> </w:t>
      </w:r>
      <w:r>
        <w:rPr>
          <w:rFonts w:ascii="Times New Roman" w:hAnsi="Times New Roman"/>
          <w:b w:val="false"/>
          <w:i w:val="false"/>
          <w:color w:val="000000"/>
          <w:sz w:val="22"/>
        </w:rPr>
        <w:t>Permits shall be posted in a conspicuous place in the tattoo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481—492.11</w:t>
      </w:r>
      <w:r>
        <w:rPr>
          <w:rFonts w:ascii="Times New Roman" w:hAnsi="Times New Roman"/>
          <w:b/>
          <w:i w:val="false"/>
          <w:color w:val="000000"/>
          <w:sz w:val="22"/>
        </w:rPr>
        <w:t xml:space="preserve">(10A) </w:t>
      </w:r>
      <w:r>
        <w:rPr>
          <w:rFonts w:ascii="Times New Roman" w:hAnsi="Times New Roman"/>
          <w:b/>
          <w:i w:val="false"/>
          <w:color w:val="000000"/>
          <w:sz w:val="22"/>
        </w:rPr>
        <w:t xml:space="preserve">Temporary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492.11(1)</w:t>
      </w:r>
      <w:r>
        <w:rPr>
          <w:rFonts w:ascii="Times New Roman" w:hAnsi="Times New Roman"/>
          <w:b w:val="false"/>
          <w:i w:val="false"/>
          <w:color w:val="000000"/>
          <w:sz w:val="22"/>
        </w:rPr>
        <w:t> </w:t>
      </w:r>
      <w:r>
        <w:rPr>
          <w:rFonts w:ascii="Times New Roman" w:hAnsi="Times New Roman"/>
          <w:b w:val="false"/>
          <w:i w:val="false"/>
          <w:color w:val="000000"/>
          <w:sz w:val="22"/>
        </w:rPr>
        <w:t>A person must submit a temporary tattoo establishment application form, a floor plan of the facility, promotional documentation for the event, and the appropriate fee at least 30 days prior to the event to obtain a temporary establishment permit. Fees are based on the number of participating tattoo artists. The application will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for which the permit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of time during which the permit is needed (not to exceed 14 calendar days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fulfillment of tattoo artist criteria as specified in rule </w:t>
      </w:r>
      <w:hyperlink r:id="rId14">
        <w:r>
          <w:rPr>
            <w:rStyle w:val="Hyperlink"/>
            <w:rFonts w:ascii="Times New Roman" w:hAnsi="Times New Roman"/>
            <w:b w:val="false"/>
            <w:i w:val="false"/>
            <w:color w:val="000000"/>
            <w:sz w:val="22"/>
          </w:rPr>
          <w:t>481—492.10</w:t>
        </w:r>
      </w:hyperlink>
      <w:r>
        <w:rPr>
          <w:rFonts w:ascii="Times New Roman" w:hAnsi="Times New Roman"/>
          <w:b w:val="false"/>
          <w:i w:val="false"/>
          <w:color w:val="000000"/>
          <w:sz w:val="22"/>
        </w:rPr>
        <w:t>(10A). A list of participating tattoo artists shall be sent to the tattoo program no later than one week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temporary event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492.11(2)</w:t>
      </w:r>
      <w:r>
        <w:rPr>
          <w:rFonts w:ascii="Times New Roman" w:hAnsi="Times New Roman"/>
          <w:b w:val="false"/>
          <w:i w:val="false"/>
          <w:color w:val="000000"/>
          <w:sz w:val="22"/>
        </w:rPr>
        <w:t> </w:t>
      </w:r>
      <w:r>
        <w:rPr>
          <w:rFonts w:ascii="Times New Roman" w:hAnsi="Times New Roman"/>
          <w:b w:val="false"/>
          <w:i w:val="false"/>
          <w:color w:val="000000"/>
          <w:sz w:val="22"/>
        </w:rPr>
        <w:t>The temporary event must be inside a permanent building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Conveniently located hand-washing facilities with liquid soap, single-use towels or hand dryers and potable hot and cold water under pressure to a mixing-type faucet are provided. Drainage in accordance with local plumbing codes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square feet of floor space is provided for each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sufficient lighting where the tattoo procedure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single use are properly sterilized and dated 30 days or less prior to the date of the event. Evidence of a spore test performed on the sterilization equipment is dated 30 days or less prior to the date of the event. Single-use, prepackaged, sterilized equipment obtained from reputable suppliers or manufacturers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Tattoo artists properly clean and sanitize the area used for tattoo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Floors of the tattooing area(s) are smooth and impervious or covered with an impermeable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492.11(3)</w:t>
      </w:r>
      <w:r>
        <w:rPr>
          <w:rFonts w:ascii="Times New Roman" w:hAnsi="Times New Roman"/>
          <w:b w:val="false"/>
          <w:i w:val="false"/>
          <w:color w:val="000000"/>
          <w:sz w:val="22"/>
        </w:rPr>
        <w:t> </w:t>
      </w:r>
      <w:r>
        <w:rPr>
          <w:rFonts w:ascii="Times New Roman" w:hAnsi="Times New Roman"/>
          <w:b w:val="false"/>
          <w:i w:val="false"/>
          <w:color w:val="000000"/>
          <w:sz w:val="22"/>
        </w:rPr>
        <w:t>The facility where the temporary event will be held must be inspected by the designated inspection agency and issued a permit prior to the performance of any tattoo procedures. A $50 inspection fee for each booth shall be made payable to the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492.11(4)</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temporary establishment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492.11(5)</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issued under the provisions of these rules may be suspended by the department for failure of the holder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492.11(6)</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and tattoo artist permits shall be posted in a conspicuous place in the temporary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481—492.12</w:t>
      </w:r>
      <w:r>
        <w:rPr>
          <w:rFonts w:ascii="Times New Roman" w:hAnsi="Times New Roman"/>
          <w:b/>
          <w:i w:val="false"/>
          <w:color w:val="000000"/>
          <w:sz w:val="22"/>
        </w:rPr>
        <w:t xml:space="preserve">(10A) </w:t>
      </w:r>
      <w:r>
        <w:rPr>
          <w:rFonts w:ascii="Times New Roman" w:hAnsi="Times New Roman"/>
          <w:b/>
          <w:i w:val="false"/>
          <w:color w:val="000000"/>
          <w:sz w:val="22"/>
        </w:rPr>
        <w:t xml:space="preserve">Mobile tattoo unit permit criteria. </w:t>
      </w:r>
      <w:r>
        <w:rPr>
          <w:rFonts w:ascii="Times New Roman" w:hAnsi="Times New Roman"/>
          <w:b w:val="false"/>
          <w:i w:val="false"/>
          <w:color w:val="000000"/>
          <w:sz w:val="22"/>
        </w:rPr>
        <w:t>No new mobile tattoo units will be permitted. Mobile tattoo units granted a permit prior to September 7, 2016, may continue to operate with a current permit provided they remain compliant with the rules of this chapter. Mobile tattoo units and tattoo artists working from mobile tattoo units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w:t>
      </w:r>
      <w:r>
        <w:rPr>
          <w:rFonts w:ascii="Times New Roman" w:hAnsi="Times New Roman"/>
          <w:b w:val="false"/>
          <w:i w:val="false"/>
          <w:color w:val="000000"/>
          <w:sz w:val="22"/>
        </w:rPr>
        <w:t> </w:t>
      </w:r>
      <w:r>
        <w:rPr>
          <w:rFonts w:ascii="Times New Roman" w:hAnsi="Times New Roman"/>
          <w:b w:val="false"/>
          <w:i w:val="false"/>
          <w:color w:val="000000"/>
          <w:sz w:val="22"/>
        </w:rPr>
        <w:t>No mobile tattoo unit is operated in the state without having a permit to operate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492.12(2)</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Artist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492.12(3)</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posted in a conspicuous place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492.12(4)</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492.12(5)</w:t>
      </w:r>
      <w:r>
        <w:rPr>
          <w:rFonts w:ascii="Times New Roman" w:hAnsi="Times New Roman"/>
          <w:b w:val="false"/>
          <w:i w:val="false"/>
          <w:color w:val="000000"/>
          <w:sz w:val="22"/>
        </w:rPr>
        <w:t> </w:t>
      </w:r>
      <w:r>
        <w:rPr>
          <w:rFonts w:ascii="Times New Roman" w:hAnsi="Times New Roman"/>
          <w:b w:val="false"/>
          <w:i w:val="false"/>
          <w:color w:val="000000"/>
          <w:sz w:val="22"/>
        </w:rPr>
        <w:t>Within 30 days of a change of address of where the mobile tattoo unit is housed, the owner submits a new application and a fee for a new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492.12(6)</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by the local jurisdiction in which the mobile tattoo unit is housed. Any out-of-state mobile tattoo units maintaining an Iowa mobile tattoo unit permit must be inspected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492.12(7)</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permitted for use only at temporary events lasting 14 calendar days or less. Permits are obtained at least 14 days prior to the event, and no tattoo procedures are performed before a permit is issued. Promotional documentation of the event is included with the application. Permit holders are responsible for compliance with all other local regulations including but not limited to zoning and business license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492.12(8)</w:t>
      </w:r>
      <w:r>
        <w:rPr>
          <w:rFonts w:ascii="Times New Roman" w:hAnsi="Times New Roman"/>
          <w:b w:val="false"/>
          <w:i w:val="false"/>
          <w:color w:val="000000"/>
          <w:sz w:val="22"/>
        </w:rPr>
        <w:t> </w:t>
      </w:r>
      <w:r>
        <w:rPr>
          <w:rFonts w:ascii="Times New Roman" w:hAnsi="Times New Roman"/>
          <w:b w:val="false"/>
          <w:i w:val="false"/>
          <w:color w:val="000000"/>
          <w:sz w:val="22"/>
        </w:rPr>
        <w:t>The mobile tattoo unit is maintained in a clean and sanitary condition at all times. Doors are tight-fitting. Openable windows have tight-fitting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492.12(9)</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meet the sterilization criteria in accordance with rule </w:t>
      </w:r>
      <w:hyperlink r:id="rId15">
        <w:r>
          <w:rPr>
            <w:rStyle w:val="Hyperlink"/>
            <w:rFonts w:ascii="Times New Roman" w:hAnsi="Times New Roman"/>
            <w:b w:val="false"/>
            <w:i w:val="false"/>
            <w:color w:val="000000"/>
            <w:sz w:val="22"/>
          </w:rPr>
          <w:t>481—492.5</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492.12(10)</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used only for the purpose of performing tattoo procedures. No habitation or food preparation is permitted inside the vehicle unless the tattoo work station is separated from such areas by an impervious floor-to-ceiling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492.12(11)</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are equipped with a hand sink for use of the tattoo artist for hand washing and preparing the client for the tattoo procedures. The hand sink is supplied with hot and cold running water under pressure to a mixing-type faucet, as well as liquid soap and single-use towels in dispensers or hand dryer. An adequate supply of potable water is maintained for the mobile tattoo unit at all times during operation. The source of the water and storage of the tank(s) is also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492.12(12)</w:t>
      </w:r>
      <w:r>
        <w:rPr>
          <w:rFonts w:ascii="Times New Roman" w:hAnsi="Times New Roman"/>
          <w:b w:val="false"/>
          <w:i w:val="false"/>
          <w:color w:val="000000"/>
          <w:sz w:val="22"/>
        </w:rPr>
        <w:t> </w:t>
      </w:r>
      <w:r>
        <w:rPr>
          <w:rFonts w:ascii="Times New Roman" w:hAnsi="Times New Roman"/>
          <w:b w:val="false"/>
          <w:i w:val="false"/>
          <w:color w:val="000000"/>
          <w:sz w:val="22"/>
        </w:rPr>
        <w:t>All liquid wastes are stored in an adequate storage tank with a capacity at least 15 percent greater than the capacity of the on-board potable water supply. Liquid wastes are disposed of at a publicly owned treatment works site approved by the department of natural resources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492.12(13)</w:t>
      </w:r>
      <w:r>
        <w:rPr>
          <w:rFonts w:ascii="Times New Roman" w:hAnsi="Times New Roman"/>
          <w:b w:val="false"/>
          <w:i w:val="false"/>
          <w:color w:val="000000"/>
          <w:sz w:val="22"/>
        </w:rPr>
        <w:t> </w:t>
      </w:r>
      <w:r>
        <w:rPr>
          <w:rFonts w:ascii="Times New Roman" w:hAnsi="Times New Roman"/>
          <w:b w:val="false"/>
          <w:i w:val="false"/>
          <w:color w:val="000000"/>
          <w:sz w:val="22"/>
        </w:rPr>
        <w:t xml:space="preserve">Restroom facilities are available at the temporary event or within the mobile tattoo unit. A hand sink is available within a reasonably acceptable distance from the restroom. The hand sink is supplied with hot and cold running water under pressure to a mixing-type faucet, as well as liquid soap and single-use towels or hand dryer.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492.12(14)</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492.12(15)</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mobile tattoo unit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481—492.13</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fee of $250 is due upon receipt of a notice of payment due, which will be billed by the inspection agency upon completion of an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492.13(2)</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 and the reports of inspections maintained by the inspection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492.13(3)</w:t>
      </w:r>
      <w:r>
        <w:rPr>
          <w:rFonts w:ascii="Times New Roman" w:hAnsi="Times New Roman"/>
          <w:b w:val="false"/>
          <w:i w:val="false"/>
          <w:color w:val="000000"/>
          <w:sz w:val="22"/>
        </w:rPr>
        <w:t> </w:t>
      </w:r>
      <w:r>
        <w:rPr>
          <w:rFonts w:ascii="Times New Roman" w:hAnsi="Times New Roman"/>
          <w:b w:val="false"/>
          <w:i w:val="false"/>
          <w:color w:val="000000"/>
          <w:sz w:val="22"/>
        </w:rPr>
        <w:t>When the tattoo establishment is located within the jurisdiction of a local inspection agency, the local inspection agency may establish fees needed to defray the costs of inspection and enforcement under this chapter. Inspection fees billed by a local inspection agency are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agency determines that an additional physical inspection is necessary, including to review corrected deficiencies or in response to a complaint of a potential imminent health threat, the inspection agency may charge an inspection fee based on the actual cost of providing the inspection, including the inspector's time and mileage expenses. Any such fee charged shall not exceed the fee identified in subrule </w:t>
      </w:r>
      <w:hyperlink r:id="rId16">
        <w:r>
          <w:rPr>
            <w:rStyle w:val="Hyperlink"/>
            <w:rFonts w:ascii="Times New Roman" w:hAnsi="Times New Roman"/>
            <w:b w:val="false"/>
            <w:i w:val="false"/>
            <w:color w:val="000000"/>
            <w:sz w:val="22"/>
          </w:rPr>
          <w:t>492.13(1)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492.13(5)</w:t>
      </w:r>
      <w:r>
        <w:rPr>
          <w:rFonts w:ascii="Times New Roman" w:hAnsi="Times New Roman"/>
          <w:b w:val="false"/>
          <w:i w:val="false"/>
          <w:color w:val="000000"/>
          <w:sz w:val="22"/>
        </w:rPr>
        <w:t> </w:t>
      </w:r>
      <w:r>
        <w:rPr>
          <w:rFonts w:ascii="Times New Roman" w:hAnsi="Times New Roman"/>
          <w:b w:val="false"/>
          <w:i w:val="false"/>
          <w:color w:val="000000"/>
          <w:sz w:val="22"/>
        </w:rPr>
        <w:t>Unpaid inspection fees are delinquent 30 days after the date of the bill. A late fee of $30 per month will be assessed to the establishment owner after a 30-day notice. If inspection fees remain unpaid after 60 days, an order to cease and desist operations will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492.13(6)</w:t>
      </w:r>
      <w:r>
        <w:rPr>
          <w:rFonts w:ascii="Times New Roman" w:hAnsi="Times New Roman"/>
          <w:b w:val="false"/>
          <w:i w:val="false"/>
          <w:color w:val="000000"/>
          <w:sz w:val="22"/>
        </w:rPr>
        <w:t> </w:t>
      </w:r>
      <w:r>
        <w:rPr>
          <w:rFonts w:ascii="Times New Roman" w:hAnsi="Times New Roman"/>
          <w:b w:val="false"/>
          <w:i w:val="false"/>
          <w:color w:val="000000"/>
          <w:sz w:val="22"/>
        </w:rPr>
        <w:t>Failure to allow an inspection is grounds for denial or suspension of a tattoo establishment’s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imminent health threat exists, the inspection agency or the department may order the establishment to cease operation immediately pursuant to Iowa Code section </w:t>
      </w:r>
      <w:hyperlink r:id="rId1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Operation shall not be resumed until authorized by the inspection agency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492.13(8)</w:t>
      </w:r>
      <w:r>
        <w:rPr>
          <w:rFonts w:ascii="Times New Roman" w:hAnsi="Times New Roman"/>
          <w:b w:val="false"/>
          <w:i w:val="false"/>
          <w:color w:val="000000"/>
          <w:sz w:val="22"/>
        </w:rPr>
        <w:t> </w:t>
      </w:r>
      <w:r>
        <w:rPr>
          <w:rFonts w:ascii="Times New Roman" w:hAnsi="Times New Roman"/>
          <w:b w:val="false"/>
          <w:i w:val="false"/>
          <w:color w:val="000000"/>
          <w:sz w:val="22"/>
        </w:rPr>
        <w:t>Safety data sheets (SDS) for the chemicals used at the tattoo establishment shall be maintained at the establishment and made available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492.13(9)</w:t>
      </w:r>
      <w:r>
        <w:rPr>
          <w:rFonts w:ascii="Times New Roman" w:hAnsi="Times New Roman"/>
          <w:b w:val="false"/>
          <w:i w:val="false"/>
          <w:color w:val="000000"/>
          <w:sz w:val="22"/>
        </w:rPr>
        <w:t> </w:t>
      </w:r>
      <w:r>
        <w:rPr>
          <w:rFonts w:ascii="Times New Roman" w:hAnsi="Times New Roman"/>
          <w:b w:val="false"/>
          <w:i w:val="false"/>
          <w:color w:val="000000"/>
          <w:sz w:val="22"/>
        </w:rPr>
        <w:t>The most recent routine inspection report, along with any reinspection reports, shall be posted in a location at the establishment that is readily visible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481—492.14</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inspector qualifications. </w:t>
      </w:r>
      <w:r>
        <w:rPr>
          <w:rFonts w:ascii="Times New Roman" w:hAnsi="Times New Roman"/>
          <w:b w:val="false"/>
          <w:i w:val="false"/>
          <w:color w:val="000000"/>
          <w:sz w:val="22"/>
        </w:rPr>
        <w:t>Tattoo inspectors shall have successfully completed a blood-borne pathogen certification course from the American Red Cross or an equivalent nationally recognized organization, documentation of which is maintained by the local inspection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481—492.15</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inspection agency may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492.15(1)</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The inspection agency will provide written notification to the owner of the establishment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rule of the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Specifies the steps needed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establishment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492.15(2)</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direct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492.15(3)</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the owner of a tattoo establishment, mobile tattoo unit, or temporary establishment fails to comply with conditions of the written notice, the inspection agency may take enforcement action in accordance with Iowa Code chapter </w:t>
      </w:r>
      <w:hyperlink r:id="rId1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481—492.16</w:t>
      </w:r>
      <w:r>
        <w:rPr>
          <w:rFonts w:ascii="Times New Roman" w:hAnsi="Times New Roman"/>
          <w:b/>
          <w:i w:val="false"/>
          <w:color w:val="000000"/>
          <w:sz w:val="22"/>
        </w:rPr>
        <w:t xml:space="preserve">(10A) </w:t>
      </w:r>
      <w:r>
        <w:rPr>
          <w:rFonts w:ascii="Times New Roman" w:hAnsi="Times New Roman"/>
          <w:b/>
          <w:i w:val="false"/>
          <w:color w:val="000000"/>
          <w:sz w:val="22"/>
        </w:rPr>
        <w:t xml:space="preserve">Adverse actions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abide by Iowa Code section </w:t>
      </w:r>
      <w:hyperlink r:id="rId1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this chapter may result in adverse action, including the denial or revocation of a permit, or an order to cease operations until necessary corrective action has been taken. If the establishment continues to be operated in violation of the order of the department, the department may refer the matter to the county attorney or attorney general for injunction, criminal penalties, or other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particular instances that may result in adverse action as set forth in subrule </w:t>
      </w:r>
      <w:hyperlink r:id="rId20">
        <w:r>
          <w:rPr>
            <w:rStyle w:val="Hyperlink"/>
            <w:rFonts w:ascii="Times New Roman" w:hAnsi="Times New Roman"/>
            <w:b w:val="false"/>
            <w:i w:val="false"/>
            <w:color w:val="000000"/>
            <w:sz w:val="22"/>
          </w:rPr>
          <w:t>492.16(1)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material misstatement in the application, renewal, or any supplementary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fees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Operation without a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records, qualifications, or other information related to permitting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identified during an inspection that jeopardizes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patron. Sexual harassment includes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tattoo artist when one’s permit has been denied,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or physical inability reasonably related to and adversely affecting the tattoo artist’s ability to practice in a safe and competent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drugs, including habitual or excessive use of drugs or alcohol that impair a tattoo artist’s ability to practice with reasonable skill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the provision of tattooing, including but not limited to crimes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Having a certification or permit to practice tattooing suspended or revoked, or other disciplinary action taken by a licensing, certifying, or permitting authority in any jurisdiction.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492.16(3)</w:t>
      </w:r>
      <w:r>
        <w:rPr>
          <w:rFonts w:ascii="Times New Roman" w:hAnsi="Times New Roman"/>
          <w:b w:val="false"/>
          <w:i w:val="false"/>
          <w:color w:val="000000"/>
          <w:sz w:val="22"/>
        </w:rPr>
        <w:t> </w:t>
      </w:r>
      <w:r>
        <w:rPr>
          <w:rFonts w:ascii="Times New Roman" w:hAnsi="Times New Roman"/>
          <w:b w:val="false"/>
          <w:i w:val="false"/>
          <w:color w:val="000000"/>
          <w:sz w:val="22"/>
        </w:rPr>
        <w:t>Notice of issuance of a denial, revocation, or order to cease operations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aggrieved party may request a contested case appeal in writing to the department within 20 days from the date of the aggrieved party’s receipt of the department’s order. </w:t>
      </w:r>
      <w:hyperlink r:id="rId2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11/15/93, Notice 9/1/93—published 12/8/93, effective 1/12/94]</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ARC 7982B</w:t>
      </w:r>
      <w:r>
        <w:rPr>
          <w:rFonts w:ascii="Times New Roman" w:hAnsi="Times New Roman"/>
          <w:b w:val="false"/>
          <w:i w:val="false"/>
          <w:color w:val="000000"/>
          <w:sz w:val="21"/>
        </w:rPr>
        <w:t xml:space="preserve"> (Notice ARC 7530B, IAB 1/28/09)</w:t>
      </w:r>
      <w:r>
        <w:rPr>
          <w:rFonts w:ascii="Times New Roman" w:hAnsi="Times New Roman"/>
          <w:b w:val="false"/>
          <w:i w:val="false"/>
          <w:color w:val="000000"/>
          <w:sz w:val="21"/>
        </w:rPr>
        <w:t>, IAB 7/29/09, effective 1/1/10]</w:t>
      </w:r>
    </w:p>
    <w:p>
      <w:pPr>
        <w:spacing w:before="0" w:after="0"/>
        <w:ind w:left="120"/>
        <w:jc w:val="center"/>
      </w:pPr>
      <w:r>
        <w:rPr>
          <w:rFonts w:ascii="Times New Roman" w:hAnsi="Times New Roman"/>
          <w:b w:val="false"/>
          <w:i w:val="false"/>
          <w:color w:val="000000"/>
          <w:sz w:val="21"/>
        </w:rPr>
        <w:t>[Filed ARC 2656C</w:t>
      </w:r>
      <w:r>
        <w:rPr>
          <w:rFonts w:ascii="Times New Roman" w:hAnsi="Times New Roman"/>
          <w:b w:val="false"/>
          <w:i w:val="false"/>
          <w:color w:val="000000"/>
          <w:sz w:val="21"/>
        </w:rPr>
        <w:t xml:space="preserve"> (Notice ARC 2459C, IAB 3/16/16)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7832C</w:t>
      </w:r>
      <w:r>
        <w:rPr>
          <w:rFonts w:ascii="Times New Roman" w:hAnsi="Times New Roman"/>
          <w:b w:val="false"/>
          <w:i w:val="false"/>
          <w:color w:val="000000"/>
          <w:sz w:val="21"/>
        </w:rPr>
        <w:t xml:space="preserve"> (Notice ARC 7283C,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1.pdf" Type="http://schemas.openxmlformats.org/officeDocument/2006/relationships/hyperlink" Id="rId6"/>
    <Relationship TargetMode="External" Target="https://www.legis.iowa.gov/docs/ico/chapter/10A.531.pdf" Type="http://schemas.openxmlformats.org/officeDocument/2006/relationships/hyperlink" Id="rId7"/>
    <Relationship TargetMode="External" Target="https://www.legis.iowa.gov/docs/ico/chapter/10A.531.pdf" Type="http://schemas.openxmlformats.org/officeDocument/2006/relationships/hyperlink" Id="rId8"/>
    <Relationship TargetMode="External" Target="https://www.legis.iowa.gov/docs/ico/chapter/10A.531.pdf" Type="http://schemas.openxmlformats.org/officeDocument/2006/relationships/hyperlink" Id="rId9"/>
    <Relationship TargetMode="External" Target="https://www.legis.iowa.gov/docs/iac/chapter/653.13.pdf" Type="http://schemas.openxmlformats.org/officeDocument/2006/relationships/hyperlink" Id="rId10"/>
    <Relationship TargetMode="External" Target="https://www.legis.iowa.gov/docs/ico/chapter/10A.531.pdf" Type="http://schemas.openxmlformats.org/officeDocument/2006/relationships/hyperlink" Id="rId11"/>
    <Relationship TargetMode="External" Target="https://www.legis.iowa.gov/docs/ico/chapter/142D.pdf" Type="http://schemas.openxmlformats.org/officeDocument/2006/relationships/hyperlink" Id="rId12"/>
    <Relationship TargetMode="External" Target="https://www.legis.iowa.gov/docs/iac/rule/481.492.8.pdf" Type="http://schemas.openxmlformats.org/officeDocument/2006/relationships/hyperlink" Id="rId13"/>
    <Relationship TargetMode="External" Target="https://www.legis.iowa.gov/docs/iac/rule/481.492.10.pdf" Type="http://schemas.openxmlformats.org/officeDocument/2006/relationships/hyperlink" Id="rId14"/>
    <Relationship TargetMode="External" Target="https://www.legis.iowa.gov/docs/iac/rule/481.492.5.pdf" Type="http://schemas.openxmlformats.org/officeDocument/2006/relationships/hyperlink" Id="rId15"/>
    <Relationship TargetMode="External" Target="https://www.legis.iowa.gov/docs/iac/rule/481.492.13.pdf" Type="http://schemas.openxmlformats.org/officeDocument/2006/relationships/hyperlink" Id="rId16"/>
    <Relationship TargetMode="External" Target="https://www.legis.iowa.gov/docs/ico/chapter/17A.18A.pdf" Type="http://schemas.openxmlformats.org/officeDocument/2006/relationships/hyperlink" Id="rId17"/>
    <Relationship TargetMode="External" Target="https://www.legis.iowa.gov/docs/ico/chapter/10A.pdf" Type="http://schemas.openxmlformats.org/officeDocument/2006/relationships/hyperlink" Id="rId18"/>
    <Relationship TargetMode="External" Target="https://www.legis.iowa.gov/docs/ico/chapter/10A.531.pdf" Type="http://schemas.openxmlformats.org/officeDocument/2006/relationships/hyperlink" Id="rId19"/>
    <Relationship TargetMode="External" Target="https://www.legis.iowa.gov/docs/iac/rule/481.492.16.pdf" Type="http://schemas.openxmlformats.org/officeDocument/2006/relationships/hyperlink" Id="rId20"/>
    <Relationship TargetMode="External" Target="https://www.legis.iowa.gov/docs/iac/chapter/7.2506.pdf" Type="http://schemas.openxmlformats.org/officeDocument/2006/relationships/hyperlink" Id="rId21"/>
    <Relationship TargetMode="External" Target="https://www.legis.iowa.gov/docs/iac/chapter/481.10.pdf" Type="http://schemas.openxmlformats.org/officeDocument/2006/relationships/hyperlink" Id="rId22"/>
    <Relationship TargetMode="External" Target="https://www.legis.iowa.gov/docs/ico/chapter/10A.531.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