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481</w:t>
      </w:r>
    </w:p>
    <w:p>
      <w:pPr>
        <w:spacing w:before="0" w:after="0"/>
        <w:ind w:left="120"/>
        <w:jc w:val="center"/>
      </w:pPr>
      <w:r>
        <w:rPr>
          <w:rFonts w:ascii="Times New Roman" w:hAnsi="Times New Roman"/>
          <w:b w:val="false"/>
          <w:i w:val="false"/>
          <w:color w:val="000000"/>
          <w:sz w:val="21"/>
        </w:rPr>
        <w:t>GENERAL RULES FOR MIGRATORY LABOR CAMPS</w:t>
      </w:r>
    </w:p>
    <w:p>
      <w:pPr>
        <w:spacing w:before="0" w:after="0"/>
        <w:ind w:left="120"/>
        <w:jc w:val="center"/>
      </w:pPr>
      <w:r>
        <w:rPr>
          <w:rFonts w:ascii="Times New Roman" w:hAnsi="Times New Roman"/>
          <w:b w:val="false"/>
          <w:i w:val="false"/>
          <w:color w:val="000000"/>
          <w:sz w:val="20"/>
        </w:rPr>
        <w:t>[Prior to 7/29/87, Health Department[470] Ch 81]</w:t>
      </w:r>
    </w:p>
    <w:p>
      <w:pPr>
        <w:spacing w:before="0" w:after="0"/>
        <w:ind w:left="120"/>
        <w:jc w:val="center"/>
      </w:pPr>
      <w:r>
        <w:rPr>
          <w:rFonts w:ascii="Times New Roman" w:hAnsi="Times New Roman"/>
          <w:b w:val="false"/>
          <w:i w:val="false"/>
          <w:color w:val="000000"/>
          <w:sz w:val="20"/>
        </w:rPr>
        <w:t>[Prior to 4/2/25, see Public Health Department[641] Ch 81]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481—481.1</w:t>
      </w:r>
      <w:r>
        <w:rPr>
          <w:rFonts w:ascii="Times New Roman" w:hAnsi="Times New Roman"/>
          <w:b/>
          <w:i w:val="false"/>
          <w:color w:val="000000"/>
          <w:sz w:val="22"/>
        </w:rPr>
        <w:t xml:space="preserve">(138) </w:t>
      </w:r>
      <w:r>
        <w:rPr>
          <w:rFonts w:ascii="Times New Roman" w:hAnsi="Times New Roman"/>
          <w:b/>
          <w:i w:val="false"/>
          <w:color w:val="000000"/>
          <w:sz w:val="22"/>
        </w:rPr>
        <w:t xml:space="preserve">Shelters.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481.1(1)</w:t>
      </w:r>
      <w:r>
        <w:rPr>
          <w:rFonts w:ascii="Times New Roman" w:hAnsi="Times New Roman"/>
          <w:b w:val="false"/>
          <w:i w:val="false"/>
          <w:color w:val="000000"/>
          <w:sz w:val="22"/>
        </w:rPr>
        <w:t> </w:t>
      </w:r>
      <w:r>
        <w:rPr>
          <w:rFonts w:ascii="Times New Roman" w:hAnsi="Times New Roman"/>
          <w:b w:val="false"/>
          <w:i/>
          <w:color w:val="000000"/>
          <w:sz w:val="22"/>
        </w:rPr>
        <w:t xml:space="preserve">Heating season. </w:t>
      </w:r>
      <w:r>
        <w:rPr>
          <w:rFonts w:ascii="Times New Roman" w:hAnsi="Times New Roman"/>
          <w:b w:val="false"/>
          <w:i w:val="false"/>
          <w:color w:val="000000"/>
          <w:sz w:val="22"/>
        </w:rPr>
        <w:t xml:space="preserve">The season requiring artificial heating as provided in Iowa Code section </w:t>
      </w:r>
      <w:hyperlink r:id="rId5">
        <w:r>
          <w:rPr>
            <w:rStyle w:val="Hyperlink"/>
            <w:rFonts w:ascii="Times New Roman" w:hAnsi="Times New Roman"/>
            <w:b w:val="false"/>
            <w:i w:val="false"/>
            <w:color w:val="000000"/>
            <w:sz w:val="22"/>
          </w:rPr>
          <w:t>138.13</w:t>
        </w:r>
      </w:hyperlink>
      <w:r>
        <w:rPr>
          <w:rFonts w:ascii="Times New Roman" w:hAnsi="Times New Roman"/>
          <w:b w:val="false"/>
          <w:i w:val="false"/>
          <w:color w:val="000000"/>
          <w:sz w:val="22"/>
        </w:rPr>
        <w:t xml:space="preserve"> is designated as the period between September 15 and June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481.1(2)</w:t>
      </w:r>
      <w:r>
        <w:rPr>
          <w:rFonts w:ascii="Times New Roman" w:hAnsi="Times New Roman"/>
          <w:b w:val="false"/>
          <w:i w:val="false"/>
          <w:color w:val="000000"/>
          <w:sz w:val="22"/>
        </w:rPr>
        <w:t> </w:t>
      </w:r>
      <w:r>
        <w:rPr>
          <w:rFonts w:ascii="Times New Roman" w:hAnsi="Times New Roman"/>
          <w:b w:val="false"/>
          <w:i/>
          <w:color w:val="000000"/>
          <w:sz w:val="22"/>
        </w:rPr>
        <w:t xml:space="preserve">Minimum floor space requirements. </w:t>
      </w:r>
      <w:r>
        <w:rPr>
          <w:rFonts w:ascii="Times New Roman" w:hAnsi="Times New Roman"/>
          <w:b w:val="false"/>
          <w:i w:val="false"/>
          <w:color w:val="000000"/>
          <w:sz w:val="22"/>
        </w:rPr>
        <w:t>The following floor space requirements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50 square feet per occupant for sleeping purposes only in family units and dormitory accommodations.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40 square feet per occupant for sleeping purposes only in accommodations using double bunk beds.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481.1(3)</w:t>
      </w: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The migrant shelter facilities shall be made available for inspection by the department at any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481.1(4)</w:t>
      </w:r>
      <w:r>
        <w:rPr>
          <w:rFonts w:ascii="Times New Roman" w:hAnsi="Times New Roman"/>
          <w:b w:val="false"/>
          <w:i w:val="false"/>
          <w:color w:val="000000"/>
          <w:sz w:val="22"/>
        </w:rPr>
        <w:t> </w:t>
      </w:r>
      <w:r>
        <w:rPr>
          <w:rFonts w:ascii="Times New Roman" w:hAnsi="Times New Roman"/>
          <w:b w:val="false"/>
          <w:i/>
          <w:color w:val="000000"/>
          <w:sz w:val="22"/>
        </w:rPr>
        <w:t xml:space="preserve">Register. </w:t>
      </w:r>
      <w:r>
        <w:rPr>
          <w:rFonts w:ascii="Times New Roman" w:hAnsi="Times New Roman"/>
          <w:b w:val="false"/>
          <w:i w:val="false"/>
          <w:color w:val="000000"/>
          <w:sz w:val="22"/>
        </w:rPr>
        <w:t>A register of all occupants shall be maintained and provided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481.1(5)</w:t>
      </w:r>
      <w:r>
        <w:rPr>
          <w:rFonts w:ascii="Times New Roman" w:hAnsi="Times New Roman"/>
          <w:b w:val="false"/>
          <w:i w:val="false"/>
          <w:color w:val="000000"/>
          <w:sz w:val="22"/>
        </w:rPr>
        <w:t> </w:t>
      </w:r>
      <w:r>
        <w:rPr>
          <w:rFonts w:ascii="Times New Roman" w:hAnsi="Times New Roman"/>
          <w:b w:val="false"/>
          <w:i/>
          <w:color w:val="000000"/>
          <w:sz w:val="22"/>
        </w:rPr>
        <w:t xml:space="preserve">Separate rooms. </w:t>
      </w:r>
      <w:r>
        <w:rPr>
          <w:rFonts w:ascii="Times New Roman" w:hAnsi="Times New Roman"/>
          <w:b w:val="false"/>
          <w:i w:val="false"/>
          <w:color w:val="000000"/>
          <w:sz w:val="22"/>
        </w:rPr>
        <w:t>Housing used for families with one or more children six years of age or older shall have a separate room or partition made of rigid materials and installed to provide a reasonably private sleeping area for the husband and wife.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481.1(6)</w:t>
      </w:r>
      <w:r>
        <w:rPr>
          <w:rFonts w:ascii="Times New Roman" w:hAnsi="Times New Roman"/>
          <w:b w:val="false"/>
          <w:i w:val="false"/>
          <w:color w:val="000000"/>
          <w:sz w:val="22"/>
        </w:rPr>
        <w:t> </w:t>
      </w:r>
      <w:r>
        <w:rPr>
          <w:rFonts w:ascii="Times New Roman" w:hAnsi="Times New Roman"/>
          <w:b w:val="false"/>
          <w:i/>
          <w:color w:val="000000"/>
          <w:sz w:val="22"/>
        </w:rPr>
        <w:t xml:space="preserve">Storage. </w:t>
      </w:r>
      <w:r>
        <w:rPr>
          <w:rFonts w:ascii="Times New Roman" w:hAnsi="Times New Roman"/>
          <w:b w:val="false"/>
          <w:i w:val="false"/>
          <w:color w:val="000000"/>
          <w:sz w:val="22"/>
        </w:rPr>
        <w:t>Arrangements for hanging clothing and storing personal effects for each person or family will be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481—481.2</w:t>
      </w:r>
      <w:r>
        <w:rPr>
          <w:rFonts w:ascii="Times New Roman" w:hAnsi="Times New Roman"/>
          <w:b/>
          <w:i w:val="false"/>
          <w:color w:val="000000"/>
          <w:sz w:val="22"/>
        </w:rPr>
        <w:t xml:space="preserve">(138) </w:t>
      </w:r>
      <w:r>
        <w:rPr>
          <w:rFonts w:ascii="Times New Roman" w:hAnsi="Times New Roman"/>
          <w:b/>
          <w:i w:val="false"/>
          <w:color w:val="000000"/>
          <w:sz w:val="22"/>
        </w:rPr>
        <w:t xml:space="preserve">Water supply.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following standards apply to the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water supply will be of a safe bacterial and chemical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a public water supply is available, such water will be used in the camp. If a private water source under pressure is provided, the water system will be capable of delivering at least 35 gallons per person per day to the camp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Cistern supplies consisting of roof or other surface runoff water will not be used for drinking or culinary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adequacy of a well as a source of water for drinking or culinary purposes will be determined by inspection and bacteriological examination. Defects found by inspection or contaminated samples will be sufficient grounds for requiring repair, chlorination or condemnation of the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Water containing 45 or more parts per million of nitrates will not be used for drinking or preparation of formula for infants under one year of age. When the supply contains nitrates in the quantity above, water for infant feeding will be obtained from another source that has been tested and found to be bacterially satisfactory and contains less than 45 parts per million of nitrates. A water supply containing 45 or more parts per million of nitrates will be placarded or posted stating the water will not be used for infant feeding.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Hand-pump bases will be of the solid one-piece type bolted, including suitable gaskets, secured to the well casing by thread or weld connection. Handpumps secured to the platform by bolts cast in the concrete will be provided with a rubber or neoprene gasket between the pump base and the platform to ensure a watertight joint.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pump head will be of a type designed to prevent external water or other contaminating material from entering the water chamber.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pump spout will be of the closed, downward-directed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481.2(2)</w:t>
      </w:r>
      <w:r>
        <w:rPr>
          <w:rFonts w:ascii="Times New Roman" w:hAnsi="Times New Roman"/>
          <w:b w:val="false"/>
          <w:i w:val="false"/>
          <w:color w:val="000000"/>
          <w:sz w:val="22"/>
        </w:rPr>
        <w:t> </w:t>
      </w:r>
      <w:r>
        <w:rPr>
          <w:rFonts w:ascii="Times New Roman" w:hAnsi="Times New Roman"/>
          <w:b w:val="false"/>
          <w:i/>
          <w:color w:val="000000"/>
          <w:sz w:val="22"/>
        </w:rPr>
        <w:t xml:space="preserve">Existing pump pits. </w:t>
      </w:r>
      <w:r>
        <w:rPr>
          <w:rFonts w:ascii="Times New Roman" w:hAnsi="Times New Roman"/>
          <w:b w:val="false"/>
          <w:i w:val="false"/>
          <w:color w:val="000000"/>
          <w:sz w:val="22"/>
        </w:rPr>
        <w:t>Existing pump pits may be approved if the construction conforms to the following minimum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Walls, floor and top of pit are of watertight concrete or masonry construction or equivalent. The well casing extends at least 6 inches above the pit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positive seal is provided for the annular opening between the casing wall and the drop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positive drain is provided by either a watertight sump and automatic sump pump discharging with at least a 6-inch free fall above the ground surface or an independent drain line discharging to the ground surface above any possible flood level. Pit drains discharging to any other drain or sewer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481.2(3)</w:t>
      </w:r>
      <w:r>
        <w:rPr>
          <w:rFonts w:ascii="Times New Roman" w:hAnsi="Times New Roman"/>
          <w:b w:val="false"/>
          <w:i w:val="false"/>
          <w:color w:val="000000"/>
          <w:sz w:val="22"/>
        </w:rPr>
        <w:t> </w:t>
      </w:r>
      <w:r>
        <w:rPr>
          <w:rFonts w:ascii="Times New Roman" w:hAnsi="Times New Roman"/>
          <w:b w:val="false"/>
          <w:i/>
          <w:color w:val="000000"/>
          <w:sz w:val="22"/>
        </w:rPr>
        <w:t xml:space="preserve">Water supply systems. </w:t>
      </w:r>
      <w:r>
        <w:rPr>
          <w:rFonts w:ascii="Times New Roman" w:hAnsi="Times New Roman"/>
          <w:b w:val="false"/>
          <w:i w:val="false"/>
          <w:color w:val="000000"/>
          <w:sz w:val="22"/>
        </w:rPr>
        <w:t>The water supply system shall be installed so as to prevent backflow of contaminated water from appliances, fixtures, drains and sewers and have no cross-connections with any nonpotable supply or any other water supply that does not comply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481.2(4)</w:t>
      </w:r>
      <w:r>
        <w:rPr>
          <w:rFonts w:ascii="Times New Roman" w:hAnsi="Times New Roman"/>
          <w:b w:val="false"/>
          <w:i w:val="false"/>
          <w:color w:val="000000"/>
          <w:sz w:val="22"/>
        </w:rPr>
        <w:t> </w:t>
      </w:r>
      <w:r>
        <w:rPr>
          <w:rFonts w:ascii="Times New Roman" w:hAnsi="Times New Roman"/>
          <w:b w:val="false"/>
          <w:i/>
          <w:color w:val="000000"/>
          <w:sz w:val="22"/>
        </w:rPr>
        <w:t xml:space="preserve">Water tanks. </w:t>
      </w:r>
      <w:r>
        <w:rPr>
          <w:rFonts w:ascii="Times New Roman" w:hAnsi="Times New Roman"/>
          <w:b w:val="false"/>
          <w:i w:val="false"/>
          <w:color w:val="000000"/>
          <w:sz w:val="22"/>
        </w:rPr>
        <w:t>All water to be hauled for a camp will be obtained from an approved source. All equipment used for hauling or storage of potable water will be thoroughly cleaned and disinfected with a solution containing at least 200 parts per million of chlorine immediately before use. No equipment, tanks or reservoirs used for hauling or storing potable water can be used for any other purpose.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481—481.3</w:t>
      </w:r>
      <w:r>
        <w:rPr>
          <w:rFonts w:ascii="Times New Roman" w:hAnsi="Times New Roman"/>
          <w:b/>
          <w:i w:val="false"/>
          <w:color w:val="000000"/>
          <w:sz w:val="22"/>
        </w:rPr>
        <w:t xml:space="preserve">(138) </w:t>
      </w:r>
      <w:r>
        <w:rPr>
          <w:rFonts w:ascii="Times New Roman" w:hAnsi="Times New Roman"/>
          <w:b/>
          <w:i w:val="false"/>
          <w:color w:val="000000"/>
          <w:sz w:val="22"/>
        </w:rPr>
        <w:t xml:space="preserve">Waste disposal.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481.3(1)</w:t>
      </w:r>
      <w:r>
        <w:rPr>
          <w:rFonts w:ascii="Times New Roman" w:hAnsi="Times New Roman"/>
          <w:b w:val="false"/>
          <w:i w:val="false"/>
          <w:color w:val="000000"/>
          <w:sz w:val="22"/>
        </w:rPr>
        <w:t> </w:t>
      </w:r>
      <w:r>
        <w:rPr>
          <w:rFonts w:ascii="Times New Roman" w:hAnsi="Times New Roman"/>
          <w:b w:val="false"/>
          <w:i/>
          <w:color w:val="000000"/>
          <w:sz w:val="22"/>
        </w:rPr>
        <w:t xml:space="preserve">Solid waste disposal. </w:t>
      </w:r>
      <w:r>
        <w:rPr>
          <w:rFonts w:ascii="Times New Roman" w:hAnsi="Times New Roman"/>
          <w:b w:val="false"/>
          <w:i w:val="false"/>
          <w:color w:val="000000"/>
          <w:sz w:val="22"/>
        </w:rPr>
        <w:t xml:space="preserve">Solid waste shall be disposed of in a sanitary disposal project pursuant to Iowa Code chapter </w:t>
      </w:r>
      <w:hyperlink r:id="rId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or, if disposed of on the premises, buried so as to create no health hazard or nuisance.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481.3(2)</w:t>
      </w:r>
      <w:r>
        <w:rPr>
          <w:rFonts w:ascii="Times New Roman" w:hAnsi="Times New Roman"/>
          <w:b w:val="false"/>
          <w:i w:val="false"/>
          <w:color w:val="000000"/>
          <w:sz w:val="22"/>
        </w:rPr>
        <w:t> </w:t>
      </w:r>
      <w:r>
        <w:rPr>
          <w:rFonts w:ascii="Times New Roman" w:hAnsi="Times New Roman"/>
          <w:b w:val="false"/>
          <w:i/>
          <w:color w:val="000000"/>
          <w:sz w:val="22"/>
        </w:rPr>
        <w:t xml:space="preserve">Liquid waste. </w:t>
      </w:r>
      <w:r>
        <w:rPr>
          <w:rFonts w:ascii="Times New Roman" w:hAnsi="Times New Roman"/>
          <w:b w:val="false"/>
          <w:i w:val="false"/>
          <w:color w:val="000000"/>
          <w:sz w:val="22"/>
        </w:rPr>
        <w:t>Liquid waste shall be disposed of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Existing wastewater disposal systems located and constructed so as not to create a nuisance or condition of pollution.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Water-carriage toilets discharged to a septic tank and solid absorption system or other type of disposal system located, designed and constructed in accordance with the specifications set forth in </w:t>
      </w:r>
      <w:hyperlink r:id="rId7">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leaching pit or other type disposal system provided to receive the wastes from sinks, laundries, showers and tubs when no septic tank and absorption system is available located and constructed in accordance with the specifications set forth in </w:t>
      </w:r>
      <w:hyperlink r:id="rId8">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481—481.4</w:t>
      </w:r>
      <w:r>
        <w:rPr>
          <w:rFonts w:ascii="Times New Roman" w:hAnsi="Times New Roman"/>
          <w:b/>
          <w:i w:val="false"/>
          <w:color w:val="000000"/>
          <w:sz w:val="22"/>
        </w:rPr>
        <w:t xml:space="preserve">(138) </w:t>
      </w:r>
      <w:r>
        <w:rPr>
          <w:rFonts w:ascii="Times New Roman" w:hAnsi="Times New Roman"/>
          <w:b/>
          <w:i w:val="false"/>
          <w:color w:val="000000"/>
          <w:sz w:val="22"/>
        </w:rPr>
        <w:t xml:space="preserve">Bathing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481.4(1)</w:t>
      </w:r>
      <w:r>
        <w:rPr>
          <w:rFonts w:ascii="Times New Roman" w:hAnsi="Times New Roman"/>
          <w:b w:val="false"/>
          <w:i w:val="false"/>
          <w:color w:val="000000"/>
          <w:sz w:val="22"/>
        </w:rPr>
        <w:t> </w:t>
      </w:r>
      <w:r>
        <w:rPr>
          <w:rFonts w:ascii="Times New Roman" w:hAnsi="Times New Roman"/>
          <w:b w:val="false"/>
          <w:i w:val="false"/>
          <w:color w:val="000000"/>
          <w:sz w:val="22"/>
        </w:rPr>
        <w:t>Showers shall be supplied with hot and cold water under pressure and be sufficiently enclosed to provide privacy for the user. An adjacent, enclosed dry area will be provided for dressing. No duckboards, mats or other such accessories will be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481.4(2)</w:t>
      </w:r>
      <w:r>
        <w:rPr>
          <w:rFonts w:ascii="Times New Roman" w:hAnsi="Times New Roman"/>
          <w:b w:val="false"/>
          <w:i w:val="false"/>
          <w:color w:val="000000"/>
          <w:sz w:val="22"/>
        </w:rPr>
        <w:t> </w:t>
      </w:r>
      <w:r>
        <w:rPr>
          <w:rFonts w:ascii="Times New Roman" w:hAnsi="Times New Roman"/>
          <w:b w:val="false"/>
          <w:i w:val="false"/>
          <w:color w:val="000000"/>
          <w:sz w:val="22"/>
        </w:rPr>
        <w:t>Automatic water-heating equipment, or storage tanks with hand-fired heating coils, shall be equipped with combination pressure and temperature relief valves or separate pressure and temperature relief valves, located in the top one-eighth or not more than three inches above the top of the tank served. Pressure relief valves may be located adjacent to the tank. Gas-fired or other combustion-type water heaters shall be vented to the outside atmosphere.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481—481.5</w:t>
      </w:r>
      <w:r>
        <w:rPr>
          <w:rFonts w:ascii="Times New Roman" w:hAnsi="Times New Roman"/>
          <w:b/>
          <w:i w:val="false"/>
          <w:color w:val="000000"/>
          <w:sz w:val="22"/>
        </w:rPr>
        <w:t xml:space="preserve">(138) </w:t>
      </w:r>
      <w:r>
        <w:rPr>
          <w:rFonts w:ascii="Times New Roman" w:hAnsi="Times New Roman"/>
          <w:b/>
          <w:i w:val="false"/>
          <w:color w:val="000000"/>
          <w:sz w:val="22"/>
        </w:rPr>
        <w:t xml:space="preserve">Central dining facilities. </w:t>
      </w:r>
      <w:r>
        <w:rPr>
          <w:rFonts w:ascii="Times New Roman" w:hAnsi="Times New Roman"/>
          <w:b w:val="false"/>
          <w:i w:val="false"/>
          <w:color w:val="000000"/>
          <w:sz w:val="22"/>
        </w:rPr>
        <w:t>When central dining facilities are provided by a concessionaire, operator or the manager of a camp, the size of the kitchen and dining hall will be commensurate with the capacity of the housing and separate from the sleeping quarters.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481—481.6</w:t>
      </w:r>
      <w:r>
        <w:rPr>
          <w:rFonts w:ascii="Times New Roman" w:hAnsi="Times New Roman"/>
          <w:b/>
          <w:i w:val="false"/>
          <w:color w:val="000000"/>
          <w:sz w:val="22"/>
        </w:rPr>
        <w:t xml:space="preserve">(138) </w:t>
      </w:r>
      <w:r>
        <w:rPr>
          <w:rFonts w:ascii="Times New Roman" w:hAnsi="Times New Roman"/>
          <w:b/>
          <w:i w:val="false"/>
          <w:color w:val="000000"/>
          <w:sz w:val="22"/>
        </w:rPr>
        <w:t xml:space="preserve">Safety and fire.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481.6(1)</w:t>
      </w:r>
      <w:r>
        <w:rPr>
          <w:rFonts w:ascii="Times New Roman" w:hAnsi="Times New Roman"/>
          <w:b w:val="false"/>
          <w:i w:val="false"/>
          <w:color w:val="000000"/>
          <w:sz w:val="22"/>
        </w:rPr>
        <w:t> </w:t>
      </w:r>
      <w:r>
        <w:rPr>
          <w:rFonts w:ascii="Times New Roman" w:hAnsi="Times New Roman"/>
          <w:b w:val="false"/>
          <w:i/>
          <w:color w:val="000000"/>
          <w:sz w:val="22"/>
        </w:rPr>
        <w:t xml:space="preserve">Fire exits. </w:t>
      </w:r>
      <w:r>
        <w:rPr>
          <w:rFonts w:ascii="Times New Roman" w:hAnsi="Times New Roman"/>
          <w:b w:val="false"/>
          <w:i w:val="false"/>
          <w:color w:val="000000"/>
          <w:sz w:val="22"/>
        </w:rPr>
        <w:t>Fire exits shall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Shelters of one-story construction housing less than ten persons: two means of escape, one of which may be a readily accessible window with an openable space of at least 24 by 24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Sleeping quarters designed for ten or more persons, central dining facilities and common assembly rooms: at least two doors remotely separated so as to provide alternate means of escape.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Floors, above the first floor, used for sleeping quarters or common assembly rooms: a stairway and a permanent affixed exterior ladder or a second stairway.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481.6(2)</w:t>
      </w:r>
      <w:r>
        <w:rPr>
          <w:rFonts w:ascii="Times New Roman" w:hAnsi="Times New Roman"/>
          <w:b w:val="false"/>
          <w:i w:val="false"/>
          <w:color w:val="000000"/>
          <w:sz w:val="22"/>
        </w:rPr>
        <w:t> </w:t>
      </w:r>
      <w:r>
        <w:rPr>
          <w:rFonts w:ascii="Times New Roman" w:hAnsi="Times New Roman"/>
          <w:b w:val="false"/>
          <w:i/>
          <w:color w:val="000000"/>
          <w:sz w:val="22"/>
        </w:rPr>
        <w:t xml:space="preserve">Shelter spacing. </w:t>
      </w:r>
      <w:r>
        <w:rPr>
          <w:rFonts w:ascii="Times New Roman" w:hAnsi="Times New Roman"/>
          <w:b w:val="false"/>
          <w:i w:val="false"/>
          <w:color w:val="000000"/>
          <w:sz w:val="22"/>
        </w:rPr>
        <w:t>There shall be at least ten feet of space in all directions between shelters.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138.18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8/31/71]</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ARC 8909C</w:t>
      </w:r>
      <w:r>
        <w:rPr>
          <w:rFonts w:ascii="Times New Roman" w:hAnsi="Times New Roman"/>
          <w:b w:val="false"/>
          <w:i w:val="false"/>
          <w:color w:val="000000"/>
          <w:sz w:val="21"/>
        </w:rPr>
        <w:t xml:space="preserve"> (Notice ARC 8656C, IAB 12/25/24)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4/2/25]</w:t>
      </w:r>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8.13.pdf" Type="http://schemas.openxmlformats.org/officeDocument/2006/relationships/hyperlink" Id="rId5"/>
    <Relationship TargetMode="External" Target="https://www.legis.iowa.gov/docs/ico/chapter/455B.pdf" Type="http://schemas.openxmlformats.org/officeDocument/2006/relationships/hyperlink" Id="rId6"/>
    <Relationship TargetMode="External" Target="https://www.legis.iowa.gov/docs/iac/chapter/567.69.pdf" Type="http://schemas.openxmlformats.org/officeDocument/2006/relationships/hyperlink" Id="rId7"/>
    <Relationship TargetMode="External" Target="https://www.legis.iowa.gov/docs/iac/chapter/567.69.pdf" Type="http://schemas.openxmlformats.org/officeDocument/2006/relationships/hyperlink" Id="rId8"/>
    <Relationship TargetMode="External" Target="https://www.legis.iowa.gov/docs/ico/chapter/138.18.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