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476</w:t>
      </w:r>
    </w:p>
    <w:p>
      <w:pPr>
        <w:spacing w:before="0" w:after="0"/>
        <w:ind w:left="120"/>
        <w:jc w:val="center"/>
      </w:pPr>
      <w:r>
        <w:rPr>
          <w:rFonts w:ascii="Times New Roman" w:hAnsi="Times New Roman"/>
          <w:b w:val="false"/>
          <w:i w:val="false"/>
          <w:color w:val="000000"/>
          <w:sz w:val="21"/>
        </w:rPr>
        <w:t>BACKFLOW PREVENTION ASSEMBLY TESTER REGISTRATION</w:t>
      </w:r>
    </w:p>
    <w:p>
      <w:pPr>
        <w:spacing w:before="0" w:after="0"/>
        <w:ind w:left="120"/>
        <w:jc w:val="center"/>
      </w:pPr>
      <w:r>
        <w:rPr>
          <w:rFonts w:ascii="Times New Roman" w:hAnsi="Times New Roman"/>
          <w:b w:val="false"/>
          <w:i w:val="false"/>
          <w:color w:val="000000"/>
          <w:sz w:val="20"/>
        </w:rPr>
        <w:t>[Prior to 4/2/25, see Public Health Department[641]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481—476.1</w:t>
      </w:r>
      <w:r>
        <w:rPr>
          <w:rFonts w:ascii="Times New Roman" w:hAnsi="Times New Roman"/>
          <w:b/>
          <w:i w:val="false"/>
          <w:color w:val="000000"/>
          <w:sz w:val="22"/>
        </w:rPr>
        <w:t xml:space="preserve">(135K)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“ABPA”</w:t>
      </w:r>
      <w:r>
        <w:rPr>
          <w:rFonts w:ascii="Times New Roman" w:hAnsi="Times New Roman"/>
          <w:b w:val="false"/>
          <w:i w:val="false"/>
          <w:color w:val="000000"/>
          <w:sz w:val="22"/>
        </w:rPr>
        <w:t> </w:t>
      </w:r>
      <w:r>
        <w:rPr>
          <w:rFonts w:ascii="Times New Roman" w:hAnsi="Times New Roman"/>
          <w:b w:val="false"/>
          <w:i w:val="false"/>
          <w:color w:val="000000"/>
          <w:sz w:val="22"/>
        </w:rPr>
        <w:t>means the American Backflow Prevention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authority”</w:t>
      </w:r>
      <w:r>
        <w:rPr>
          <w:rFonts w:ascii="Times New Roman" w:hAnsi="Times New Roman"/>
          <w:b w:val="false"/>
          <w:i w:val="false"/>
          <w:color w:val="000000"/>
          <w:sz w:val="22"/>
        </w:rPr>
        <w:t> </w:t>
      </w:r>
      <w:r>
        <w:rPr>
          <w:rFonts w:ascii="Times New Roman" w:hAnsi="Times New Roman"/>
          <w:b w:val="false"/>
          <w:i w:val="false"/>
          <w:color w:val="000000"/>
          <w:sz w:val="22"/>
        </w:rPr>
        <w:t>means an individual, board, department, or agency employed by a city, county or other political subdivision of the state and authorized by local ordinance to administer and enforce the provisions of the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continuing education course”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department-approved course designed to supplement or refresh the knowledge of a registered tester and to meet the requirements of subparagraph </w:t>
      </w:r>
      <w:hyperlink r:id="rId5">
        <w:r>
          <w:rPr>
            <w:rStyle w:val="Hyperlink"/>
            <w:rFonts w:ascii="Times New Roman" w:hAnsi="Times New Roman"/>
            <w:b w:val="false"/>
            <w:i w:val="false"/>
            <w:color w:val="000000"/>
            <w:sz w:val="22"/>
          </w:rPr>
          <w:t>476.5(2)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training course”</w:t>
      </w:r>
      <w:r>
        <w:rPr>
          <w:rFonts w:ascii="Times New Roman" w:hAnsi="Times New Roman"/>
          <w:b w:val="false"/>
          <w:i w:val="false"/>
          <w:color w:val="000000"/>
          <w:sz w:val="22"/>
        </w:rPr>
        <w:t> </w:t>
      </w:r>
      <w:r>
        <w:rPr>
          <w:rFonts w:ascii="Times New Roman" w:hAnsi="Times New Roman"/>
          <w:b w:val="false"/>
          <w:i w:val="false"/>
          <w:color w:val="000000"/>
          <w:sz w:val="22"/>
        </w:rPr>
        <w:t>means a department-approved course designed to train individuals to test and repair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w:t>
      </w:r>
      <w:r>
        <w:rPr>
          <w:rFonts w:ascii="Times New Roman" w:hAnsi="Times New Roman"/>
          <w:b w:val="false"/>
          <w:i w:val="false"/>
          <w:color w:val="000000"/>
          <w:sz w:val="22"/>
        </w:rPr>
        <w:t> </w:t>
      </w:r>
      <w:r>
        <w:rPr>
          <w:rFonts w:ascii="Times New Roman" w:hAnsi="Times New Roman"/>
          <w:b w:val="false"/>
          <w:i w:val="false"/>
          <w:color w:val="000000"/>
          <w:sz w:val="22"/>
        </w:rPr>
        <w:t>means ASSE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“AWWA”</w:t>
      </w:r>
      <w:r>
        <w:rPr>
          <w:rFonts w:ascii="Times New Roman" w:hAnsi="Times New Roman"/>
          <w:b w:val="false"/>
          <w:i w:val="false"/>
          <w:color w:val="000000"/>
          <w:sz w:val="22"/>
        </w:rPr>
        <w:t> </w:t>
      </w:r>
      <w:r>
        <w:rPr>
          <w:rFonts w:ascii="Times New Roman" w:hAnsi="Times New Roman"/>
          <w:b w:val="false"/>
          <w:i w:val="false"/>
          <w:color w:val="000000"/>
          <w:sz w:val="22"/>
        </w:rPr>
        <w:t>means the American Water Works Association.</w:t>
      </w:r>
    </w:p>
    <w:p>
      <w:pPr>
        <w:spacing w:before="0" w:after="0"/>
        <w:ind w:left="120"/>
        <w:jc w:val="both"/>
      </w:pPr>
      <w:r>
        <w:rPr>
          <w:rFonts w:ascii="Times New Roman" w:hAnsi="Times New Roman"/>
          <w:b w:val="false"/>
          <w:i/>
          <w:color w:val="000000"/>
          <w:sz w:val="22"/>
        </w:rPr>
        <w:t>“Backflow prevention assembly,”</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means a device or means to prevent backflow into a potable water system for which a method of testing the device in-line has been published by the Foundation for Cross-Connection Control and Hydraulic Research at the University of Southern California or by ASSE.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assemblies are included under this definition. This is not intended to be an exclusive list. If new devices and test methods are introduced that meet the definition, they are included under the rules.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818"/>
        <w:gridCol w:w="3782"/>
      </w:tblGrid>
      <w:tr>
        <w:trPr>
          <w:trHeight w:val="195" w:hRule="atLeast"/>
        </w:trPr>
        <w:tc>
          <w:tcPr>
            <w:tcW w:w="58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Backflow Prevention Assembly</w:t>
            </w:r>
          </w:p>
        </w:tc>
        <w:tc>
          <w:tcPr>
            <w:tcW w:w="378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Product Standards</w:t>
            </w:r>
          </w:p>
        </w:tc>
      </w:tr>
      <w:tr>
        <w:trPr>
          <w:trHeight w:val="195" w:hRule="atLeast"/>
        </w:trPr>
        <w:tc>
          <w:tcPr>
            <w:tcW w:w="58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Double Check Valve Assembly</w:t>
            </w:r>
          </w:p>
        </w:tc>
        <w:tc>
          <w:tcPr>
            <w:tcW w:w="378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 1015-2021, AWWA C510-07</w:t>
            </w:r>
          </w:p>
        </w:tc>
      </w:tr>
      <w:tr>
        <w:trPr>
          <w:trHeight w:val="195" w:hRule="atLeast"/>
        </w:trPr>
        <w:tc>
          <w:tcPr>
            <w:tcW w:w="58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Double Check Detector Assembly</w:t>
            </w:r>
          </w:p>
        </w:tc>
        <w:tc>
          <w:tcPr>
            <w:tcW w:w="378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 1048-2021</w:t>
            </w:r>
          </w:p>
        </w:tc>
      </w:tr>
      <w:tr>
        <w:trPr>
          <w:trHeight w:val="195" w:hRule="atLeast"/>
        </w:trPr>
        <w:tc>
          <w:tcPr>
            <w:tcW w:w="58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Pressure Vacuum Breaker</w:t>
            </w:r>
          </w:p>
        </w:tc>
        <w:tc>
          <w:tcPr>
            <w:tcW w:w="378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 1020-2021</w:t>
            </w:r>
          </w:p>
        </w:tc>
      </w:tr>
      <w:tr>
        <w:trPr>
          <w:trHeight w:val="195" w:hRule="atLeast"/>
        </w:trPr>
        <w:tc>
          <w:tcPr>
            <w:tcW w:w="58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Reduced Pressure Principle Backflow Preventer</w:t>
            </w:r>
          </w:p>
        </w:tc>
        <w:tc>
          <w:tcPr>
            <w:tcW w:w="378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 1013-2021, AWWA 511-07</w:t>
            </w:r>
          </w:p>
        </w:tc>
      </w:tr>
      <w:tr>
        <w:trPr>
          <w:trHeight w:val="195" w:hRule="atLeast"/>
        </w:trPr>
        <w:tc>
          <w:tcPr>
            <w:tcW w:w="581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Reduced Pressure Detector Assembly</w:t>
            </w:r>
          </w:p>
        </w:tc>
        <w:tc>
          <w:tcPr>
            <w:tcW w:w="378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 1047-2021</w:t>
            </w:r>
          </w:p>
        </w:tc>
      </w:tr>
      <w:tr>
        <w:trPr>
          <w:trHeight w:val="195" w:hRule="atLeast"/>
        </w:trPr>
        <w:tc>
          <w:tcPr>
            <w:tcW w:w="581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Spill Resistant Pressure Vacuum Breaker</w:t>
            </w:r>
          </w:p>
        </w:tc>
        <w:tc>
          <w:tcPr>
            <w:tcW w:w="378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 1056-2013-R2021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means certified as a backflow prevention assembly tester under the requirements of ABPA, ASSE, or another third-party certification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135K.1(3)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by a third-party certification agency to conduct certification examinations of backflow prevention assembly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backflow prevention assembly tester”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“registered tester”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135K.1(4)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certification agency”</w:t>
      </w:r>
      <w:r>
        <w:rPr>
          <w:rFonts w:ascii="Times New Roman" w:hAnsi="Times New Roman"/>
          <w:b w:val="false"/>
          <w:i w:val="false"/>
          <w:color w:val="000000"/>
          <w:sz w:val="22"/>
        </w:rPr>
        <w:t> </w:t>
      </w:r>
      <w:r>
        <w:rPr>
          <w:rFonts w:ascii="Times New Roman" w:hAnsi="Times New Roman"/>
          <w:b w:val="false"/>
          <w:i w:val="false"/>
          <w:color w:val="000000"/>
          <w:sz w:val="22"/>
        </w:rPr>
        <w:t>means ABPA, ASSE or another agency approved by the department to certify the knowledge and skills of backflow prevention assembly testers.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481—476.2</w:t>
      </w:r>
      <w:r>
        <w:rPr>
          <w:rFonts w:ascii="Times New Roman" w:hAnsi="Times New Roman"/>
          <w:b/>
          <w:i w:val="false"/>
          <w:color w:val="000000"/>
          <w:sz w:val="22"/>
        </w:rPr>
        <w:t xml:space="preserve">(135K) </w:t>
      </w:r>
      <w:r>
        <w:rPr>
          <w:rFonts w:ascii="Times New Roman" w:hAnsi="Times New Roman"/>
          <w:b/>
          <w:i w:val="false"/>
          <w:color w:val="000000"/>
          <w:sz w:val="22"/>
        </w:rPr>
        <w:t xml:space="preserve">Registration. </w:t>
      </w:r>
      <w:r>
        <w:rPr>
          <w:rFonts w:ascii="Times New Roman" w:hAnsi="Times New Roman"/>
          <w:b w:val="false"/>
          <w:i w:val="false"/>
          <w:color w:val="000000"/>
          <w:sz w:val="22"/>
        </w:rPr>
        <w:t>No person shall test or repair a backflow prevention assembly unless the person is a registered backflow prevention assembly tester.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481—476.3</w:t>
      </w:r>
      <w:r>
        <w:rPr>
          <w:rFonts w:ascii="Times New Roman" w:hAnsi="Times New Roman"/>
          <w:b/>
          <w:i w:val="false"/>
          <w:color w:val="000000"/>
          <w:sz w:val="22"/>
        </w:rPr>
        <w:t xml:space="preserve">(135K)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Any person who submits a check to the department that is returned for insufficient funds will incur a $15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481—476.4</w:t>
      </w:r>
      <w:r>
        <w:rPr>
          <w:rFonts w:ascii="Times New Roman" w:hAnsi="Times New Roman"/>
          <w:b/>
          <w:i w:val="false"/>
          <w:color w:val="000000"/>
          <w:sz w:val="22"/>
        </w:rPr>
        <w:t xml:space="preserve">(135K) </w:t>
      </w:r>
      <w:r>
        <w:rPr>
          <w:rFonts w:ascii="Times New Roman" w:hAnsi="Times New Roman"/>
          <w:b/>
          <w:i w:val="false"/>
          <w:color w:val="000000"/>
          <w:sz w:val="22"/>
        </w:rPr>
        <w:t xml:space="preserve">Backflow prevention assembly tester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476.4(1)</w:t>
      </w:r>
      <w:r>
        <w:rPr>
          <w:rFonts w:ascii="Times New Roman" w:hAnsi="Times New Roman"/>
          <w:b w:val="false"/>
          <w:i w:val="false"/>
          <w:color w:val="000000"/>
          <w:sz w:val="22"/>
        </w:rPr>
        <w:t> </w:t>
      </w:r>
      <w:r>
        <w:rPr>
          <w:rFonts w:ascii="Times New Roman" w:hAnsi="Times New Roman"/>
          <w:b w:val="false"/>
          <w:i/>
          <w:color w:val="000000"/>
          <w:sz w:val="22"/>
        </w:rPr>
        <w:t xml:space="preserve">Tester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that plans to conduct or sponsor a backflow prevention assembly tester training course in Iowa shall apply to the department for approval of the course at least 15 days before the first time the course is held, using an application form provided by the department and submitting a $200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respond to the applicant within ten business days after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or organization responsible for the course content shall submit to the department any changes in the information set forth in paragraph </w:t>
      </w:r>
      <w:hyperlink r:id="rId8">
        <w:r>
          <w:rPr>
            <w:rStyle w:val="Hyperlink"/>
            <w:rFonts w:ascii="Times New Roman" w:hAnsi="Times New Roman"/>
            <w:b w:val="false"/>
            <w:i w:val="false"/>
            <w:color w:val="000000"/>
            <w:sz w:val="22"/>
          </w:rPr>
          <w:t>476.4(1)</w:t>
        </w:r>
      </w:hyperlink>
      <w:r>
        <w:rPr>
          <w:rFonts w:ascii="Times New Roman" w:hAnsi="Times New Roman"/>
          <w:b w:val="false"/>
          <w:i/>
          <w:color w:val="000000"/>
          <w:sz w:val="22"/>
        </w:rPr>
        <w:t>“a”</w:t>
      </w:r>
      <w:r>
        <w:rPr>
          <w:rFonts w:ascii="Times New Roman" w:hAnsi="Times New Roman"/>
          <w:b w:val="false"/>
          <w:i w:val="false"/>
          <w:color w:val="000000"/>
          <w:sz w:val="22"/>
        </w:rPr>
        <w:t xml:space="preserve"> every five years, no later than 30 calendar days before the end of the fifth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course sponsor shall notify the department at least 15 days before an approved training course begins. The notification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and website,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Course location, including street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$50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32 instructional hours and cover the following minimum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Backflow definitions, causes and examples.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Description of backflow prevention assemblies, their proper application and installation, and their operational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and operational characteristics of test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Techniques for testing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Troubleshooting of backflow prevention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Recordkeeping and the responsibilities of regulatory agencies and the registered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Conclude with a written examination of at least 100 questions and a practical examination of testing techniques on all types of testable backflow prevention assemblies. The time for testing is in addition to the instructional hours. A score of at least 70 percent on the written examination and demonstration of proficiency in testing and troubleshooting procedures constitutes successful completion of the course. Approved third-party certification agency testing may be substituted for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lead course instructor shall have documentation of successfully completing an approved training course or be certified, and have at least three years of experience in cross connection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laboratory for a training course shall be equipped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Examples of each of the backflow prevention assemblies from at least three different manufacturers. If fewer than three manufacturers make a type of backflow prevention assembly, at least one example of that type of backflow prevention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one double check valve assembly and one reduced pressure principle assembly larger than two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test station per three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organization that plans to conduct or sponsor a continuing education course for registered testers in Iowa shall apply to the department for approval of the course at least 15 days before the course is scheduled to begin, using an application form provided by the department and submitted with a $50 nonrefundable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application and respond to the applicant within ten business days after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course will address cross connection control theory and practice; backflow prevention devices and methods; backflow prevention assembly installation, testing, troubleshooting and repair; codes and rules affecting cross connection control; safety issues related to installation and testing of backflow prevention assemblies; or related subjects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476.4(3)</w:t>
      </w:r>
      <w:r>
        <w:rPr>
          <w:rFonts w:ascii="Times New Roman" w:hAnsi="Times New Roman"/>
          <w:b w:val="false"/>
          <w:i w:val="false"/>
          <w:color w:val="000000"/>
          <w:sz w:val="22"/>
        </w:rPr>
        <w:t> </w:t>
      </w:r>
      <w:r>
        <w:rPr>
          <w:rFonts w:ascii="Times New Roman" w:hAnsi="Times New Roman"/>
          <w:b w:val="false"/>
          <w:i/>
          <w:color w:val="000000"/>
          <w:sz w:val="22"/>
        </w:rPr>
        <w:t xml:space="preserve">Third-party certification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certification agencies seeking approval in Iowa shall submit a written request to the department, on agency letterhead and signed by an authorized representative of the agency, that includes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Agency name and website,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written examination, whether it is open- or closed-book, and information about the arrangements for administration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testing procedures that are the basis for the practical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procedures for the practical examination and the criteria for evaluating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Proctor qualifications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and criteria for renewing the certification. The renewal of certification will be completed at least every five years and include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history of the development and implementation of the program,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list of other jurisdictions where the certification is allowed and regulatory contacts in those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$200.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third-party certification agency will not certify an individual who was trained by the agency. An individual proctor will not certify individuals who have taken a course at which the proctor was an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certification agency shall submit to the department any changes to the information set forth in paragraph </w:t>
      </w:r>
      <w:hyperlink r:id="rId9">
        <w:r>
          <w:rPr>
            <w:rStyle w:val="Hyperlink"/>
            <w:rFonts w:ascii="Times New Roman" w:hAnsi="Times New Roman"/>
            <w:b w:val="false"/>
            <w:i w:val="false"/>
            <w:color w:val="000000"/>
            <w:sz w:val="22"/>
          </w:rPr>
          <w:t>476.4(3)</w:t>
        </w:r>
      </w:hyperlink>
      <w:r>
        <w:rPr>
          <w:rFonts w:ascii="Times New Roman" w:hAnsi="Times New Roman"/>
          <w:b w:val="false"/>
          <w:i/>
          <w:color w:val="000000"/>
          <w:sz w:val="22"/>
        </w:rPr>
        <w:t>“a”</w:t>
      </w:r>
      <w:r>
        <w:rPr>
          <w:rFonts w:ascii="Times New Roman" w:hAnsi="Times New Roman"/>
          <w:b w:val="false"/>
          <w:i w:val="false"/>
          <w:color w:val="000000"/>
          <w:sz w:val="22"/>
        </w:rPr>
        <w:t xml:space="preserve"> every five years, no later than 30 days before the end of the fifth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481—476.5</w:t>
      </w:r>
      <w:r>
        <w:rPr>
          <w:rFonts w:ascii="Times New Roman" w:hAnsi="Times New Roman"/>
          <w:b/>
          <w:i w:val="false"/>
          <w:color w:val="000000"/>
          <w:sz w:val="22"/>
        </w:rPr>
        <w:t xml:space="preserve">(135K)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476.5(1)</w:t>
      </w:r>
      <w:r>
        <w:rPr>
          <w:rFonts w:ascii="Times New Roman" w:hAnsi="Times New Roman"/>
          <w:b w:val="false"/>
          <w:i w:val="false"/>
          <w:color w:val="000000"/>
          <w:sz w:val="22"/>
        </w:rPr>
        <w:t> </w:t>
      </w:r>
      <w:r>
        <w:rPr>
          <w:rFonts w:ascii="Times New Roman" w:hAnsi="Times New Roman"/>
          <w:b w:val="false"/>
          <w:i/>
          <w:color w:val="000000"/>
          <w:sz w:val="22"/>
        </w:rPr>
        <w:t xml:space="preserve">Initial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successfully completed an approved training course may register with the department within one year of course completion. A person who is certified may register with the department. The applicant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successful completion of an approved training course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has completed a course of training in another state may be registered in Iowa. The person will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Iowa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successfully completed a training course meeting the hour and subject requirements for an approved training course (if the person completed the training course more than 12 months before the date of the application, provide documentation that the person has attended an average of at least 2.5 hours of continuing education training per year since completing the course),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registered as a backflow prevention assembly tester in a jurisdiction that has similar or greater requirements for training and continuing education than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expires two years after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476.5(2)</w:t>
      </w:r>
      <w:r>
        <w:rPr>
          <w:rFonts w:ascii="Times New Roman" w:hAnsi="Times New Roman"/>
          <w:b w:val="false"/>
          <w:i w:val="false"/>
          <w:color w:val="000000"/>
          <w:sz w:val="22"/>
        </w:rPr>
        <w:t> </w:t>
      </w:r>
      <w:r>
        <w:rPr>
          <w:rFonts w:ascii="Times New Roman" w:hAnsi="Times New Roman"/>
          <w:b w:val="false"/>
          <w:i/>
          <w:color w:val="000000"/>
          <w:sz w:val="22"/>
        </w:rPr>
        <w:t xml:space="preserve">Renewal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testers may renew 60 days prior to registration expiration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registration renewal application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registered tester has completed at least five hours of approved continuing education courses during the registration period or documentation that the registered tester is certified.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nonrefundable fee of $72. </w:t>
      </w:r>
    </w:p>
    <w:p>
      <w:pPr>
        <w:spacing w:before="0" w:after="0"/>
        <w:ind w:left="120"/>
        <w:jc w:val="both"/>
      </w:pPr>
      <w:r>
        <w:rPr>
          <w:rFonts w:ascii="Times New Roman" w:hAnsi="Times New Roman"/>
          <w:b w:val="false"/>
          <w:i w:val="false"/>
          <w:color w:val="000000"/>
          <w:sz w:val="22"/>
        </w:rPr>
        <w:t>Registration renewal applications received after expiration will incur a $10 penalty per month, to a maximum $50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registration has lapsed greater than 24 months, the person applying for renewal shall demonstrate that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successfully completed an approved training course within the 12 months before applying for registration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certified,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registered as a backflow prevention assembly tester in a jurisdiction that has similar or greater requirements for training and continuing education than does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481—476.6</w:t>
      </w:r>
      <w:r>
        <w:rPr>
          <w:rFonts w:ascii="Times New Roman" w:hAnsi="Times New Roman"/>
          <w:b/>
          <w:i w:val="false"/>
          <w:color w:val="000000"/>
          <w:sz w:val="22"/>
        </w:rPr>
        <w:t xml:space="preserve">(135K) </w:t>
      </w:r>
      <w:r>
        <w:rPr>
          <w:rFonts w:ascii="Times New Roman" w:hAnsi="Times New Roman"/>
          <w:b/>
          <w:i w:val="false"/>
          <w:color w:val="000000"/>
          <w:sz w:val="22"/>
        </w:rPr>
        <w:t xml:space="preserve">Standards of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476.6(1)</w:t>
      </w:r>
      <w:r>
        <w:rPr>
          <w:rFonts w:ascii="Times New Roman" w:hAnsi="Times New Roman"/>
          <w:b w:val="false"/>
          <w:i w:val="false"/>
          <w:color w:val="000000"/>
          <w:sz w:val="22"/>
        </w:rPr>
        <w:t> </w:t>
      </w:r>
      <w:r>
        <w:rPr>
          <w:rFonts w:ascii="Times New Roman" w:hAnsi="Times New Roman"/>
          <w:b w:val="false"/>
          <w:i w:val="false"/>
          <w:color w:val="000000"/>
          <w:sz w:val="22"/>
        </w:rPr>
        <w:t>A registered tester shall comply with these rules and any ordinances, rules and policies of the administrative authority in jurisdictions where the registered tester tests or repairs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476.6(2)</w:t>
      </w:r>
      <w:r>
        <w:rPr>
          <w:rFonts w:ascii="Times New Roman" w:hAnsi="Times New Roman"/>
          <w:b w:val="false"/>
          <w:i w:val="false"/>
          <w:color w:val="000000"/>
          <w:sz w:val="22"/>
        </w:rPr>
        <w:t> </w:t>
      </w:r>
      <w:r>
        <w:rPr>
          <w:rFonts w:ascii="Times New Roman" w:hAnsi="Times New Roman"/>
          <w:b w:val="false"/>
          <w:i w:val="false"/>
          <w:color w:val="000000"/>
          <w:sz w:val="22"/>
        </w:rPr>
        <w:t>A registered tester shall maintain a record for each backflow prevention assembly tested for at least five years after the date on which the assembly was tested. Registered testers will complete an administrative authority’s test report form if required by ordinance. Records may be reviewed during normal business hours by an authorized representative of the department or administrative authority of the jurisdiction in which the assembly is located. The assembly record will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assembly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facility in which the assembly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of the assembly within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brand, model, size, and serial number of the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Results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assembly repairs 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476.6(3)</w:t>
      </w:r>
      <w:r>
        <w:rPr>
          <w:rFonts w:ascii="Times New Roman" w:hAnsi="Times New Roman"/>
          <w:b w:val="false"/>
          <w:i w:val="false"/>
          <w:color w:val="000000"/>
          <w:sz w:val="22"/>
        </w:rPr>
        <w:t> </w:t>
      </w:r>
      <w:r>
        <w:rPr>
          <w:rFonts w:ascii="Times New Roman" w:hAnsi="Times New Roman"/>
          <w:b w:val="false"/>
          <w:i w:val="false"/>
          <w:color w:val="000000"/>
          <w:sz w:val="22"/>
        </w:rPr>
        <w:t xml:space="preserve">To field test a backflow prevention assembly, a registered tester shall use a differential pressure gauge, the accuracy of which is verified no less than every 13 months with results traceable to the National Institute of Standards and Technology (NIST). Any differential pressure gauge with an error of more than plus or minus 0.2 psi cannot be used to test a backflow prevention assembly. Methods of testing that use other types of equipment, including dual pressure gauges, water columns, or single pressure gauges, are not acceptable. For every test report record retained in accordance with subrule </w:t>
      </w:r>
      <w:hyperlink r:id="rId10">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 the prior most recent accuracy verification for the differential pressure gauge shall be retained and made available to an authorized representative of the department or administrative authority of the jurisdiction in which the assembly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481—476.7</w:t>
      </w:r>
      <w:r>
        <w:rPr>
          <w:rFonts w:ascii="Times New Roman" w:hAnsi="Times New Roman"/>
          <w:b/>
          <w:i w:val="false"/>
          <w:color w:val="000000"/>
          <w:sz w:val="22"/>
        </w:rPr>
        <w:t xml:space="preserve">(135K) </w:t>
      </w:r>
      <w:r>
        <w:rPr>
          <w:rFonts w:ascii="Times New Roman" w:hAnsi="Times New Roman"/>
          <w:b/>
          <w:i w:val="false"/>
          <w:color w:val="000000"/>
          <w:sz w:val="22"/>
        </w:rPr>
        <w:t xml:space="preserve">Penalty. </w:t>
      </w:r>
      <w:r>
        <w:rPr>
          <w:rFonts w:ascii="Times New Roman" w:hAnsi="Times New Roman"/>
          <w:b w:val="false"/>
          <w:i w:val="false"/>
          <w:color w:val="000000"/>
          <w:sz w:val="22"/>
        </w:rPr>
        <w:t xml:space="preserve">In addition to other sanctions provided herein, a person who violates a provision of this chapter is guilty of a simple misdemeanor pursuant to Iowa Code section </w:t>
      </w:r>
      <w:hyperlink r:id="rId11">
        <w:r>
          <w:rPr>
            <w:rStyle w:val="Hyperlink"/>
            <w:rFonts w:ascii="Times New Roman" w:hAnsi="Times New Roman"/>
            <w:b w:val="false"/>
            <w:i w:val="false"/>
            <w:color w:val="000000"/>
            <w:sz w:val="22"/>
          </w:rPr>
          <w:t>135K.5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481—476.8</w:t>
      </w:r>
      <w:r>
        <w:rPr>
          <w:rFonts w:ascii="Times New Roman" w:hAnsi="Times New Roman"/>
          <w:b/>
          <w:i w:val="false"/>
          <w:color w:val="000000"/>
          <w:sz w:val="22"/>
        </w:rPr>
        <w:t xml:space="preserve">(135K) </w:t>
      </w:r>
      <w:r>
        <w:rPr>
          <w:rFonts w:ascii="Times New Roman" w:hAnsi="Times New Roman"/>
          <w:b/>
          <w:i w:val="false"/>
          <w:color w:val="000000"/>
          <w:sz w:val="22"/>
        </w:rPr>
        <w:t xml:space="preserve">Denial, probation,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476.8(1)</w:t>
      </w:r>
      <w:r>
        <w:rPr>
          <w:rFonts w:ascii="Times New Roman" w:hAnsi="Times New Roman"/>
          <w:b w:val="false"/>
          <w:i w:val="false"/>
          <w:color w:val="000000"/>
          <w:sz w:val="22"/>
        </w:rPr>
        <w:t> </w:t>
      </w:r>
      <w:r>
        <w:rPr>
          <w:rFonts w:ascii="Times New Roman" w:hAnsi="Times New Roman"/>
          <w:b w:val="false"/>
          <w:i/>
          <w:color w:val="000000"/>
          <w:sz w:val="22"/>
        </w:rPr>
        <w:t xml:space="preserve">Denial, probation, suspension or revocation of registration. </w:t>
      </w:r>
      <w:r>
        <w:rPr>
          <w:rFonts w:ascii="Times New Roman" w:hAnsi="Times New Roman"/>
          <w:b w:val="false"/>
          <w:i w:val="false"/>
          <w:color w:val="000000"/>
          <w:sz w:val="22"/>
        </w:rPr>
        <w:t>The department may deny an application for registration or renewal, place a registration on probation, suspend or revoke a registration, or order a registered tester not to test or repair backflow prevention assemblies when the department finds that the applicant or registered tester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or incompetence in the testing of a backflow prevention assembly, including failure to report improper application or installation of a backflow prevention assembly to the facility owner and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a test of a backflow prevention assembly to the owner of the facility, the local administrative authority,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Fraud in obtaining registration or renewal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Intentionally submitting false information on an application for registration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Submitting a false or forged certificate or other record of training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Falsification of the assembly records set forth in subrule </w:t>
      </w:r>
      <w:hyperlink r:id="rId12">
        <w:r>
          <w:rPr>
            <w:rStyle w:val="Hyperlink"/>
            <w:rFonts w:ascii="Times New Roman" w:hAnsi="Times New Roman"/>
            <w:b w:val="false"/>
            <w:i w:val="false"/>
            <w:color w:val="000000"/>
            <w:sz w:val="22"/>
          </w:rPr>
          <w:t>476.6(2)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 or the ordinances of an administrative authority in whose jurisdiction the registered tester tests a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pay registration, renewal or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backflow prevention assembly testing, including but not limited to crimes involving dishonesty, fraud, theft,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Suspension, revocation, or other disciplinary action pertaining to backflow prevention assembly testing in another jurisdiction. A copy of the record or order of suspension, revocation or disciplinary action is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regarding the testing of backflow prevention assemblies,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client or coworker.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as a backflow prevention assembly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backflow prevention assembly tester when one’s registration has been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476.8(2)</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training course approval. </w:t>
      </w:r>
      <w:r>
        <w:rPr>
          <w:rFonts w:ascii="Times New Roman" w:hAnsi="Times New Roman"/>
          <w:b w:val="false"/>
          <w:i w:val="false"/>
          <w:color w:val="000000"/>
          <w:sz w:val="22"/>
        </w:rPr>
        <w:t>The department may deny or revoke the approval for a training course or a continuing education course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instructor for a training course is not qualified in accordance with paragraph </w:t>
      </w:r>
      <w:hyperlink r:id="rId13">
        <w:r>
          <w:rPr>
            <w:rStyle w:val="Hyperlink"/>
            <w:rFonts w:ascii="Times New Roman" w:hAnsi="Times New Roman"/>
            <w:b w:val="false"/>
            <w:i w:val="false"/>
            <w:color w:val="000000"/>
            <w:sz w:val="22"/>
          </w:rPr>
          <w:t>476.4(1)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did not comply with paragraph </w:t>
      </w:r>
      <w:hyperlink r:id="rId14">
        <w:r>
          <w:rPr>
            <w:rStyle w:val="Hyperlink"/>
            <w:rFonts w:ascii="Times New Roman" w:hAnsi="Times New Roman"/>
            <w:b w:val="false"/>
            <w:i w:val="false"/>
            <w:color w:val="000000"/>
            <w:sz w:val="22"/>
          </w:rPr>
          <w:t>476.4(1)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course testing laboratory did not comply with paragraph </w:t>
      </w:r>
      <w:hyperlink r:id="rId15">
        <w:r>
          <w:rPr>
            <w:rStyle w:val="Hyperlink"/>
            <w:rFonts w:ascii="Times New Roman" w:hAnsi="Times New Roman"/>
            <w:b w:val="false"/>
            <w:i w:val="false"/>
            <w:color w:val="000000"/>
            <w:sz w:val="22"/>
          </w:rPr>
          <w:t>476.4(1)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applying for approval of a training or continuing education course intentionally submitted false information to the department in support of such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conducting or sponsoring training has falsified training or continuing education records, including issuance of a certificate or other record of training to a person who did not successfully complete a training course or who did not attend continuing education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organization or person responsible for a training or continuing education course has permitted physical or verbal abuse or sexual harassment of a student or instructor. Sexual harassment includes sexual advances,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organization or person responsible for training courses and continuing education courses consistently fails to notify the department of such courses in a timely fashion as set forth in paragraphs </w:t>
      </w:r>
      <w:hyperlink r:id="rId16">
        <w:r>
          <w:rPr>
            <w:rStyle w:val="Hyperlink"/>
            <w:rFonts w:ascii="Times New Roman" w:hAnsi="Times New Roman"/>
            <w:b w:val="false"/>
            <w:i w:val="false"/>
            <w:color w:val="000000"/>
            <w:sz w:val="22"/>
          </w:rPr>
          <w:t>476.4(1)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476.4(2)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fails to pay its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approval as a third-party certification agency. </w:t>
      </w:r>
      <w:r>
        <w:rPr>
          <w:rFonts w:ascii="Times New Roman" w:hAnsi="Times New Roman"/>
          <w:b w:val="false"/>
          <w:i w:val="false"/>
          <w:color w:val="000000"/>
          <w:sz w:val="22"/>
        </w:rPr>
        <w:t>The department may deny or revoke the approval for a third-party certification agency when it finds: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approval contains material misinformation regarding the conduct and standards of the certification program or its acceptance in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adhere to the standards and procedures stated in the application for approval in the process of certifying or renewing the certification of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paragraph </w:t>
      </w:r>
      <w:hyperlink r:id="rId18">
        <w:r>
          <w:rPr>
            <w:rStyle w:val="Hyperlink"/>
            <w:rFonts w:ascii="Times New Roman" w:hAnsi="Times New Roman"/>
            <w:b w:val="false"/>
            <w:i w:val="false"/>
            <w:color w:val="000000"/>
            <w:sz w:val="22"/>
          </w:rPr>
          <w:t>476.4(3)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other failure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476.8(4)</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regarding a registered tester, an approved training course, or a third-party certification agency may be sent to the department. The complainant should provide as much pertinent and specific information as to a potential violation as they are able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476.8(5)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Notice of denial, probation, suspension or revocation of registration; denial, probation or revocation of course approval; or denial, probation or revocation of third-party certification agency approval will be sent to the affected individual or organization by certified mail, return receipt requested, or by personal service. The affected individual or organization may appeal the denial, probation, suspension or revocation by requesting a contested case hearing within 20 days of receipt of the department’s order. The notice of denial, probation, suspension or revocation is deemed to be suspended during the appeal. Prior to or at the contested case hearing, the department may rescind the notice upon satisfaction that the reason for the denial, probation, suspension or revocation has been or will be removed. </w:t>
      </w:r>
      <w:hyperlink r:id="rId1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135K</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1/15/93, Notice 11/11/92—published 2/3/93, effective 3/10/93]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ARC 8981B</w:t>
      </w:r>
      <w:r>
        <w:rPr>
          <w:rFonts w:ascii="Times New Roman" w:hAnsi="Times New Roman"/>
          <w:b w:val="false"/>
          <w:i w:val="false"/>
          <w:color w:val="000000"/>
          <w:sz w:val="21"/>
        </w:rPr>
        <w:t xml:space="preserve"> (Notice ARC 8761B,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2837C</w:t>
      </w:r>
      <w:r>
        <w:rPr>
          <w:rFonts w:ascii="Times New Roman" w:hAnsi="Times New Roman"/>
          <w:b w:val="false"/>
          <w:i w:val="false"/>
          <w:color w:val="000000"/>
          <w:sz w:val="21"/>
        </w:rPr>
        <w:t xml:space="preserve"> (Notice ARC 2734C,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7833C</w:t>
      </w:r>
      <w:r>
        <w:rPr>
          <w:rFonts w:ascii="Times New Roman" w:hAnsi="Times New Roman"/>
          <w:b w:val="false"/>
          <w:i w:val="false"/>
          <w:color w:val="000000"/>
          <w:sz w:val="21"/>
        </w:rPr>
        <w:t xml:space="preserve"> (Notice ARC 7284C,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476.5.pdf" Type="http://schemas.openxmlformats.org/officeDocument/2006/relationships/hyperlink" Id="rId5"/>
    <Relationship TargetMode="External" Target="https://www.legis.iowa.gov/docs/ico/chapter/135K.1.pdf" Type="http://schemas.openxmlformats.org/officeDocument/2006/relationships/hyperlink" Id="rId6"/>
    <Relationship TargetMode="External" Target="https://www.legis.iowa.gov/docs/ico/chapter/135K.1.pdf" Type="http://schemas.openxmlformats.org/officeDocument/2006/relationships/hyperlink" Id="rId7"/>
    <Relationship TargetMode="External" Target="https://www.legis.iowa.gov/docs/iac/rule/481.476.4.pdf" Type="http://schemas.openxmlformats.org/officeDocument/2006/relationships/hyperlink" Id="rId8"/>
    <Relationship TargetMode="External" Target="https://www.legis.iowa.gov/docs/iac/rule/481.476.4.pdf" Type="http://schemas.openxmlformats.org/officeDocument/2006/relationships/hyperlink" Id="rId9"/>
    <Relationship TargetMode="External" Target="https://www.legis.iowa.gov/docs/iac/rule/481.476.6.pdf" Type="http://schemas.openxmlformats.org/officeDocument/2006/relationships/hyperlink" Id="rId10"/>
    <Relationship TargetMode="External" Target="https://www.legis.iowa.gov/docs/ico/chapter/135K.5.pdf" Type="http://schemas.openxmlformats.org/officeDocument/2006/relationships/hyperlink" Id="rId11"/>
    <Relationship TargetMode="External" Target="https://www.legis.iowa.gov/docs/iac/rule/481.476.6.pdf" Type="http://schemas.openxmlformats.org/officeDocument/2006/relationships/hyperlink" Id="rId12"/>
    <Relationship TargetMode="External" Target="https://www.legis.iowa.gov/docs/iac/rule/481.476.4.pdf" Type="http://schemas.openxmlformats.org/officeDocument/2006/relationships/hyperlink" Id="rId13"/>
    <Relationship TargetMode="External" Target="https://www.legis.iowa.gov/docs/iac/rule/481.476.4.pdf" Type="http://schemas.openxmlformats.org/officeDocument/2006/relationships/hyperlink" Id="rId14"/>
    <Relationship TargetMode="External" Target="https://www.legis.iowa.gov/docs/iac/rule/481.476.4.pdf" Type="http://schemas.openxmlformats.org/officeDocument/2006/relationships/hyperlink" Id="rId15"/>
    <Relationship TargetMode="External" Target="https://www.legis.iowa.gov/docs/iac/rule/481.476.4.pdf" Type="http://schemas.openxmlformats.org/officeDocument/2006/relationships/hyperlink" Id="rId16"/>
    <Relationship TargetMode="External" Target="https://www.legis.iowa.gov/docs/iac/rule/481.476.4.pdf" Type="http://schemas.openxmlformats.org/officeDocument/2006/relationships/hyperlink" Id="rId17"/>
    <Relationship TargetMode="External" Target="https://www.legis.iowa.gov/docs/iac/rule/481.476.4.pdf" Type="http://schemas.openxmlformats.org/officeDocument/2006/relationships/hyperlink" Id="rId18"/>
    <Relationship TargetMode="External" Target="https://www.legis.iowa.gov/docs/iac/chapter/7.2506.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co/chapter/135K.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