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SPEECH PATHOLOGY AND AUDIOLOGY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470</w:t>
      </w:r>
    </w:p>
    <w:p>
      <w:pPr>
        <w:spacing w:before="0" w:after="0"/>
        <w:ind w:left="120"/>
        <w:jc w:val="center"/>
      </w:pPr>
      <w:r>
        <w:rPr>
          <w:rFonts w:ascii="Times New Roman" w:hAnsi="Times New Roman"/>
          <w:b w:val="false"/>
          <w:i w:val="false"/>
          <w:color w:val="000000"/>
          <w:sz w:val="21"/>
        </w:rPr>
        <w:t>LEAD-BASED PAINT ACTIVITIES</w:t>
      </w:r>
    </w:p>
    <w:p>
      <w:pPr>
        <w:spacing w:before="0" w:after="0"/>
        <w:ind w:left="120"/>
        <w:jc w:val="center"/>
      </w:pPr>
      <w:r>
        <w:rPr>
          <w:rFonts w:ascii="Times New Roman" w:hAnsi="Times New Roman"/>
          <w:b w:val="false"/>
          <w:i w:val="false"/>
          <w:color w:val="000000"/>
          <w:sz w:val="20"/>
        </w:rPr>
        <w:t>[Prior to 4/2/25, see Public Health Department[641] Ch 70]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481—470.1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are lead professionals in Iowa, all firms that perform lead professional activities in Iowa, and training providers that offer training for lead professionals. This chapter addresses certification of lead professionals and establishes specific requirements for how lead-based paint activities will be performed if a property owner, manager, or occupant chooses to undertake them. Nothing in this chapter mandates a property owner, manager, or occupant to undertake any particular lead-based paint activity. This chapter also provides for the approval of courses that provide training for lead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“Adequate quality control”</w:t>
      </w:r>
      <w:r>
        <w:rPr>
          <w:rFonts w:ascii="Times New Roman" w:hAnsi="Times New Roman"/>
          <w:b w:val="false"/>
          <w:i w:val="false"/>
          <w:color w:val="000000"/>
          <w:sz w:val="22"/>
        </w:rPr>
        <w:t> </w:t>
      </w:r>
      <w:r>
        <w:rPr>
          <w:rFonts w:ascii="Times New Roman" w:hAnsi="Times New Roman"/>
          <w:b w:val="false"/>
          <w:i w:val="false"/>
          <w:color w:val="000000"/>
          <w:sz w:val="22"/>
        </w:rPr>
        <w:t>means a plan or design that ensures the authenticity, integrity, and accuracy of samples, including dust, soil, and paint chip or paint film samples. Adequate quality control also includes provisions for representative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course”</w:t>
      </w:r>
      <w:r>
        <w:rPr>
          <w:rFonts w:ascii="Times New Roman" w:hAnsi="Times New Roman"/>
          <w:b w:val="false"/>
          <w:i w:val="false"/>
          <w:color w:val="000000"/>
          <w:sz w:val="22"/>
        </w:rPr>
        <w:t> </w:t>
      </w:r>
      <w:r>
        <w:rPr>
          <w:rFonts w:ascii="Times New Roman" w:hAnsi="Times New Roman"/>
          <w:b w:val="false"/>
          <w:i w:val="false"/>
          <w:color w:val="000000"/>
          <w:sz w:val="22"/>
        </w:rPr>
        <w:t>means a course that has been approved by the department for the training of lead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lead-safe work practices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lead-safe work practices training program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“Arithmetic mean”</w:t>
      </w:r>
      <w:r>
        <w:rPr>
          <w:rFonts w:ascii="Times New Roman" w:hAnsi="Times New Roman"/>
          <w:b w:val="false"/>
          <w:i w:val="false"/>
          <w:color w:val="000000"/>
          <w:sz w:val="22"/>
        </w:rPr>
        <w:t> </w:t>
      </w:r>
      <w:r>
        <w:rPr>
          <w:rFonts w:ascii="Times New Roman" w:hAnsi="Times New Roman"/>
          <w:b w:val="false"/>
          <w:i w:val="false"/>
          <w:color w:val="000000"/>
          <w:sz w:val="22"/>
        </w:rPr>
        <w:t>means the algebraic sum of data values divided by the number of data values.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elevated blood lead (EBL) inspector/risk assessor”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5">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firm that employs certified lead professionals and has met the requirements of rule </w:t>
      </w:r>
      <w:hyperlink r:id="rId6">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 for certification and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abatement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7">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abatement 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inspector/risk assessor”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9">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certified by the department as a lead inspector/risk assessor, elevated blood lead (EBL) inspector/risk assessor, lead abatement contractor, lead abatement worker, project designer, sampling technician, or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lead-safe renovator”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0">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project designer”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sampling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2">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“Chewable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painted with lead-based paint that a young child can mouth or chew. Surfaces can be considered chewable even if there is no evidence of teeth 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“Child-occupied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“Cleaning verification card”</w:t>
      </w:r>
      <w:r>
        <w:rPr>
          <w:rFonts w:ascii="Times New Roman" w:hAnsi="Times New Roman"/>
          <w:b w:val="false"/>
          <w:i w:val="false"/>
          <w:color w:val="000000"/>
          <w:sz w:val="22"/>
        </w:rPr>
        <w:t> </w:t>
      </w:r>
      <w:r>
        <w:rPr>
          <w:rFonts w:ascii="Times New Roman" w:hAnsi="Times New Roman"/>
          <w:b w:val="false"/>
          <w:i w:val="false"/>
          <w:color w:val="000000"/>
          <w:sz w:val="22"/>
        </w:rPr>
        <w:t>means a card developed and distributed, or otherwise approved, by the U.S. Environmental Protection Agency (EPA) for the purpose of determining, through comparison of wet and dry disposable cleaning cloths with the card, whether postrenovation cleaning has been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“Clearance level”</w:t>
      </w:r>
      <w:r>
        <w:rPr>
          <w:rFonts w:ascii="Times New Roman" w:hAnsi="Times New Roman"/>
          <w:b w:val="false"/>
          <w:i w:val="false"/>
          <w:color w:val="000000"/>
          <w:sz w:val="22"/>
        </w:rPr>
        <w:t> </w:t>
      </w:r>
      <w:r>
        <w:rPr>
          <w:rFonts w:ascii="Times New Roman" w:hAnsi="Times New Roman"/>
          <w:b w:val="false"/>
          <w:i w:val="false"/>
          <w:color w:val="000000"/>
          <w:sz w:val="22"/>
        </w:rPr>
        <w:t>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5 micrograms per square foot. The clearance level for a single-surface dust sample from an interior windowsill is greater than or equal to 40 micrograms per square foot. The clearance level for a single-surface dust sample from a window trough is greater than or equal to 100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“Clearance testing”</w:t>
      </w:r>
      <w:r>
        <w:rPr>
          <w:rFonts w:ascii="Times New Roman" w:hAnsi="Times New Roman"/>
          <w:b w:val="false"/>
          <w:i w:val="false"/>
          <w:color w:val="000000"/>
          <w:sz w:val="22"/>
        </w:rPr>
        <w:t> </w:t>
      </w:r>
      <w:r>
        <w:rPr>
          <w:rFonts w:ascii="Times New Roman" w:hAnsi="Times New Roman"/>
          <w:b w:val="false"/>
          <w:i w:val="false"/>
          <w:color w:val="000000"/>
          <w:sz w:val="22"/>
        </w:rPr>
        <w:t>means an activity conducted following interim controls, lead abatement, paint stabilization, standard treatments, ongoing lead-based paint maintenance, rehabilitation, or renovation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w:t>
      </w:r>
      <w:r>
        <w:rPr>
          <w:rFonts w:ascii="Times New Roman" w:hAnsi="Times New Roman"/>
          <w:b w:val="false"/>
          <w:i w:val="false"/>
          <w:color w:val="000000"/>
          <w:sz w:val="22"/>
        </w:rPr>
        <w:t>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porches, exteriors,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 group”</w:t>
      </w:r>
      <w:r>
        <w:rPr>
          <w:rFonts w:ascii="Times New Roman" w:hAnsi="Times New Roman"/>
          <w:b w:val="false"/>
          <w:i w:val="false"/>
          <w:color w:val="000000"/>
          <w:sz w:val="22"/>
        </w:rPr>
        <w:t> </w:t>
      </w:r>
      <w:r>
        <w:rPr>
          <w:rFonts w:ascii="Times New Roman" w:hAnsi="Times New Roman"/>
          <w:b w:val="false"/>
          <w:i w:val="false"/>
          <w:color w:val="000000"/>
          <w:sz w:val="22"/>
        </w:rPr>
        <w:t>means a group of common areas that are similar in design, construction, and function. Common area groups include but are not limited to hallways, stairwells, and laundry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“building component”</w:t>
      </w:r>
      <w:r>
        <w:rPr>
          <w:rFonts w:ascii="Times New Roman" w:hAnsi="Times New Roman"/>
          <w:b w:val="false"/>
          <w:i w:val="false"/>
          <w:color w:val="000000"/>
          <w:sz w:val="22"/>
        </w:rPr>
        <w: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casings, sashes and wells, and air conditioners. Each side of a door is considered a component within its respective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 type”</w:t>
      </w:r>
      <w:r>
        <w:rPr>
          <w:rFonts w:ascii="Times New Roman" w:hAnsi="Times New Roman"/>
          <w:b w:val="false"/>
          <w:i w:val="false"/>
          <w:color w:val="000000"/>
          <w:sz w:val="22"/>
        </w:rPr>
        <w:t> </w:t>
      </w:r>
      <w:r>
        <w:rPr>
          <w:rFonts w:ascii="Times New Roman" w:hAnsi="Times New Roman"/>
          <w:b w:val="false"/>
          <w:i w:val="false"/>
          <w:color w:val="000000"/>
          <w:sz w:val="22"/>
        </w:rPr>
        <w:t>means a group of like components constructed of the same substrate in the same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“Composite sample”</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more than one sample of the same medium (e.g., dust, soil, or paint) from the same type of surface (e.g., floor, interior windowsill, or window trough) such that multiple samples can be analyzed as a single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“Concentration”</w:t>
      </w:r>
      <w:r>
        <w:rPr>
          <w:rFonts w:ascii="Times New Roman" w:hAnsi="Times New Roman"/>
          <w:b w:val="false"/>
          <w:i w:val="false"/>
          <w:color w:val="000000"/>
          <w:sz w:val="22"/>
        </w:rPr>
        <w:t> </w:t>
      </w:r>
      <w:r>
        <w:rPr>
          <w:rFonts w:ascii="Times New Roman" w:hAnsi="Times New Roman"/>
          <w:b w:val="false"/>
          <w:i w:val="false"/>
          <w:color w:val="000000"/>
          <w:sz w:val="22"/>
        </w:rPr>
        <w:t>means the relative content of a specific substance contained within a larger mass, such as the amount of lead (in micrograms per grams or parts per million of weight) in a sample of soil or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“Containment”</w:t>
      </w:r>
      <w:r>
        <w:rPr>
          <w:rFonts w:ascii="Times New Roman" w:hAnsi="Times New Roman"/>
          <w:b w:val="false"/>
          <w:i w:val="false"/>
          <w:color w:val="000000"/>
          <w:sz w:val="22"/>
        </w:rPr>
        <w:t> </w:t>
      </w:r>
      <w:r>
        <w:rPr>
          <w:rFonts w:ascii="Times New Roman" w:hAnsi="Times New Roman"/>
          <w:b w:val="false"/>
          <w:i w:val="false"/>
          <w:color w:val="000000"/>
          <w:sz w:val="22"/>
        </w:rPr>
        <w:t>means a system of temporary barriers to protect workers, residents, and the environment by controlling exposures to the dust-lead hazards and debris created during renovation 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agenda”</w:t>
      </w:r>
      <w:r>
        <w:rPr>
          <w:rFonts w:ascii="Times New Roman" w:hAnsi="Times New Roman"/>
          <w:b w:val="false"/>
          <w:i w:val="false"/>
          <w:color w:val="000000"/>
          <w:sz w:val="22"/>
        </w:rPr>
        <w:t> </w:t>
      </w:r>
      <w:r>
        <w:rPr>
          <w:rFonts w:ascii="Times New Roman" w:hAnsi="Times New Roman"/>
          <w:b w:val="false"/>
          <w:i w:val="false"/>
          <w:color w:val="000000"/>
          <w:sz w:val="22"/>
        </w:rPr>
        <w:t>means an outline of the key topics to be covered during a training course, including the time allotted to teach each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test”</w:t>
      </w:r>
      <w:r>
        <w:rPr>
          <w:rFonts w:ascii="Times New Roman" w:hAnsi="Times New Roman"/>
          <w:b w:val="false"/>
          <w:i w:val="false"/>
          <w:color w:val="000000"/>
          <w:sz w:val="22"/>
        </w:rPr>
        <w:t> </w:t>
      </w:r>
      <w:r>
        <w:rPr>
          <w:rFonts w:ascii="Times New Roman" w:hAnsi="Times New Roman"/>
          <w:b w:val="false"/>
          <w:i w:val="false"/>
          <w:color w:val="000000"/>
          <w:sz w:val="22"/>
        </w:rPr>
        <w:t>means an evaluation of the overall effectiveness of the training, which shall test the trainees’ knowledge and retention of the topics covered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test blueprint”</w:t>
      </w:r>
      <w:r>
        <w:rPr>
          <w:rFonts w:ascii="Times New Roman" w:hAnsi="Times New Roman"/>
          <w:b w:val="false"/>
          <w:i w:val="false"/>
          <w:color w:val="000000"/>
          <w:sz w:val="22"/>
        </w:rPr>
        <w:t> </w:t>
      </w:r>
      <w:r>
        <w:rPr>
          <w:rFonts w:ascii="Times New Roman" w:hAnsi="Times New Roman"/>
          <w:b w:val="false"/>
          <w:i w:val="false"/>
          <w:color w:val="000000"/>
          <w:sz w:val="22"/>
        </w:rPr>
        <w:t>means written documentation identifying the proportion of course test questions devoted to each major topic in the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“Deteriorated paint”</w:t>
      </w:r>
      <w:r>
        <w:rPr>
          <w:rFonts w:ascii="Times New Roman" w:hAnsi="Times New Roman"/>
          <w:b w:val="false"/>
          <w:i w:val="false"/>
          <w:color w:val="000000"/>
          <w:sz w:val="22"/>
        </w:rPr>
        <w: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one of the specific types or categories of lead-based paint activities identified in this chapter for which individuals may receive training from approved courses and become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painting history”</w:t>
      </w:r>
      <w:r>
        <w:rPr>
          <w:rFonts w:ascii="Times New Roman" w:hAnsi="Times New Roman"/>
          <w:b w:val="false"/>
          <w:i w:val="false"/>
          <w:color w:val="000000"/>
          <w:sz w:val="22"/>
        </w:rPr>
        <w:t> </w:t>
      </w:r>
      <w:r>
        <w:rPr>
          <w:rFonts w:ascii="Times New Roman" w:hAnsi="Times New Roman"/>
          <w:b w:val="false"/>
          <w:i w:val="false"/>
          <w:color w:val="000000"/>
          <w:sz w:val="22"/>
        </w:rPr>
        <w:t>means the application history, as indicated by its visual appearance or a record of application, over time, of paint or other surface coatings to a component or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“Documented methodologies”</w:t>
      </w:r>
      <w:r>
        <w:rPr>
          <w:rFonts w:ascii="Times New Roman" w:hAnsi="Times New Roman"/>
          <w:b w:val="false"/>
          <w:i w:val="false"/>
          <w:color w:val="000000"/>
          <w:sz w:val="22"/>
        </w:rPr>
        <w:t> </w:t>
      </w:r>
      <w:r>
        <w:rPr>
          <w:rFonts w:ascii="Times New Roman" w:hAnsi="Times New Roman"/>
          <w:b w:val="false"/>
          <w:i w:val="false"/>
          <w:color w:val="000000"/>
          <w:sz w:val="22"/>
        </w:rPr>
        <w:t>means methods or protocols used to sample for the presence of lead in paint, dust,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“Dripline”</w:t>
      </w:r>
      <w:r>
        <w:rPr>
          <w:rFonts w:ascii="Times New Roman" w:hAnsi="Times New Roman"/>
          <w:b w:val="false"/>
          <w:i w:val="false"/>
          <w:color w:val="000000"/>
          <w:sz w:val="22"/>
        </w:rPr>
        <w:t>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disposable cleaning cloth”</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dry, electrostatically charged,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sanding”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sanding a surface that is partially coated with paint or other surface coating without moisture and includes hand and mechanical methods of sanding.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scraping”</w:t>
      </w:r>
      <w:r>
        <w:rPr>
          <w:rFonts w:ascii="Times New Roman" w:hAnsi="Times New Roman"/>
          <w:b w:val="false"/>
          <w:i w:val="false"/>
          <w:color w:val="000000"/>
          <w:sz w:val="22"/>
        </w:rPr>
        <w:t> </w:t>
      </w:r>
      <w:r>
        <w:rPr>
          <w:rFonts w:ascii="Times New Roman" w:hAnsi="Times New Roman"/>
          <w:b w:val="false"/>
          <w:i w:val="false"/>
          <w:color w:val="000000"/>
          <w:sz w:val="22"/>
        </w:rPr>
        <w:t>means scraping a surface that is partially coated with paint or other surface coating without moisture and includes hand and mechanical methods of scraping.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“Dust-lead hazard”</w:t>
      </w:r>
      <w:r>
        <w:rPr>
          <w:rFonts w:ascii="Times New Roman" w:hAnsi="Times New Roman"/>
          <w:b w:val="false"/>
          <w:i w:val="false"/>
          <w:color w:val="000000"/>
          <w:sz w:val="22"/>
        </w:rPr>
        <w:t> </w:t>
      </w:r>
      <w:r>
        <w:rPr>
          <w:rFonts w:ascii="Times New Roman" w:hAnsi="Times New Roman"/>
          <w:b w:val="false"/>
          <w:i w:val="false"/>
          <w:color w:val="000000"/>
          <w:sz w:val="22"/>
        </w:rPr>
        <w:t>means surface dust in residential dwellings or child-occupied facilities that contains a mass-per-area concentration of lead greater than or equal to 5 micrograms per square foot on floors, 40 micrograms per square foot on interior windowsills, and 100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5 micrograms per square foot on floors, 40 micrograms per square foot on interior windowsills, and 100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“Elevated blood lead (EBL) child”</w:t>
      </w:r>
      <w:r>
        <w:rPr>
          <w:rFonts w:ascii="Times New Roman" w:hAnsi="Times New Roman"/>
          <w:b w:val="false"/>
          <w:i w:val="false"/>
          <w:color w:val="000000"/>
          <w:sz w:val="22"/>
        </w:rPr>
        <w:t>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“Elevated blood lead (EBL)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renovation”</w:t>
      </w:r>
      <w:r>
        <w:rPr>
          <w:rFonts w:ascii="Times New Roman" w:hAnsi="Times New Roman"/>
          <w:b w:val="false"/>
          <w:i w:val="false"/>
          <w:color w:val="000000"/>
          <w:sz w:val="22"/>
        </w:rPr>
        <w:t> </w:t>
      </w:r>
      <w:r>
        <w:rPr>
          <w:rFonts w:ascii="Times New Roman" w:hAnsi="Times New Roman"/>
          <w:b w:val="false"/>
          <w:i w:val="false"/>
          <w:color w:val="000000"/>
          <w:sz w:val="22"/>
        </w:rPr>
        <w:t>means renovation, remodeling, or repainting activities necessitated by nonroutine failures of equipment or of a structure that were not planned but resulted from a sudden, unexpected event that, if not immediately attended to, presents a safety or public health hazard or threatens equipment or property with significant damage. “Emergency renovation” includes interim controls, renovation, remodeling, or repainting activities that are conducted in response to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“Encapsulant”</w:t>
      </w:r>
      <w:r>
        <w:rPr>
          <w:rFonts w:ascii="Times New Roman" w:hAnsi="Times New Roman"/>
          <w:b w:val="false"/>
          <w:i w:val="false"/>
          <w:color w:val="000000"/>
          <w:sz w:val="22"/>
        </w:rPr>
        <w:t> </w:t>
      </w:r>
      <w:r>
        <w:rPr>
          <w:rFonts w:ascii="Times New Roman" w:hAnsi="Times New Roman"/>
          <w:b w:val="false"/>
          <w:i w:val="false"/>
          <w:color w:val="000000"/>
          <w:sz w:val="22"/>
        </w:rPr>
        <w:t>means a substance that forms a barrier between lead-based paint and the environment using a liquid-applied coating (with or without reinforcement materials) or an adhesively bonded coating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“Encapsulation”</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an encapsulant.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“Enclosure”</w:t>
      </w:r>
      <w:r>
        <w:rPr>
          <w:rFonts w:ascii="Times New Roman" w:hAnsi="Times New Roman"/>
          <w:b w:val="false"/>
          <w:i w:val="false"/>
          <w:color w:val="000000"/>
          <w:sz w:val="22"/>
        </w:rPr>
        <w:t> </w:t>
      </w:r>
      <w:r>
        <w:rPr>
          <w:rFonts w:ascii="Times New Roman" w:hAnsi="Times New Roman"/>
          <w:b w:val="false"/>
          <w:i w:val="false"/>
          <w:color w:val="000000"/>
          <w:sz w:val="22"/>
        </w:rPr>
        <w:t>means the use of rigid, durable construction materials that are mechanically fastened to the substrate in order to act as a barrier between lead-based paint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 company, partnership, corporation, sole proprietorship, individual doing business, association, or other business entity; a federal, state, tribal, or local government agency; or a nonprofit organization that performs or offers to perform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“Friction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by the training program manager or principal instructor to provide instruction specific to the lecture, hands-on work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“Hands-on skills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evaluation that tests the trainees’ ability to satisfactorily perform the work practices and procedures identified in rule </w:t>
      </w:r>
      <w:hyperlink r:id="rId14">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as well as any other skill taught in a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lead-based paint”</w:t>
      </w:r>
      <w:r>
        <w:rPr>
          <w:rFonts w:ascii="Times New Roman" w:hAnsi="Times New Roman"/>
          <w:b w:val="false"/>
          <w:i w:val="false"/>
          <w:color w:val="000000"/>
          <w:sz w:val="22"/>
        </w:rPr>
        <w: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greater than or equal to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w:t>
      </w:r>
      <w:r>
        <w:rPr>
          <w:rFonts w:ascii="Times New Roman" w:hAnsi="Times New Roman"/>
          <w:b w:val="false"/>
          <w:i w:val="false"/>
          <w:color w:val="000000"/>
          <w:sz w:val="22"/>
        </w:rPr>
        <w:t> </w:t>
      </w:r>
      <w:r>
        <w:rPr>
          <w:rFonts w:ascii="Times New Roman" w:hAnsi="Times New Roman"/>
          <w:b w:val="false"/>
          <w:i w:val="false"/>
          <w:color w:val="000000"/>
          <w:sz w:val="22"/>
        </w:rPr>
        <w:t>means any waste as defined in 40 CFR 261.3.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“HEPA exhaust 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HEPA vacuum attached to the machine in such a manner that it captures the air, dust, and debris disturbed by the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“HEPA vacuum”</w:t>
      </w:r>
      <w:r>
        <w:rPr>
          <w:rFonts w:ascii="Times New Roman" w:hAnsi="Times New Roman"/>
          <w:b w:val="false"/>
          <w:i w:val="false"/>
          <w:color w:val="000000"/>
          <w:sz w:val="22"/>
        </w:rPr>
        <w:t> </w:t>
      </w:r>
      <w:r>
        <w:rPr>
          <w:rFonts w:ascii="Times New Roman" w:hAnsi="Times New Roman"/>
          <w:b w:val="false"/>
          <w:i w:val="false"/>
          <w:color w:val="000000"/>
          <w:sz w:val="22"/>
        </w:rPr>
        <w:t>means a vacuum cleaner that has been designed, operated, and maintained with a high-efficiency particulate air (HEPA) filter as the last filtration stage. A HEPA filter is a filter that is capable of capturing particles of 0.3 microns with 99.97 percent efficiency. The vacuum cleaner must be designed, operated, and maintained so that all of the air drawn into the machine is expelled through the HEPA filter with none of the air leaking past it. HEPA vacuums must be operated and maintained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for the elderly”</w:t>
      </w:r>
      <w:r>
        <w:rPr>
          <w:rFonts w:ascii="Times New Roman" w:hAnsi="Times New Roman"/>
          <w:b w:val="false"/>
          <w:i w:val="false"/>
          <w:color w:val="000000"/>
          <w:sz w:val="22"/>
        </w:rPr>
        <w:t> </w:t>
      </w:r>
      <w:r>
        <w:rPr>
          <w:rFonts w:ascii="Times New Roman" w:hAnsi="Times New Roman"/>
          <w:b w:val="false"/>
          <w:i w:val="false"/>
          <w:color w:val="000000"/>
          <w:sz w:val="22"/>
        </w:rPr>
        <w:t>means retirement communities or similar types of housing reserved for households composed of one or more persons 62 years of age or older or an age recognized as elderly by a specific federal housing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w:t>
      </w:r>
      <w:r>
        <w:rPr>
          <w:rFonts w:ascii="Times New Roman" w:hAnsi="Times New Roman"/>
          <w:b w:val="false"/>
          <w:i w:val="false"/>
          <w:color w:val="000000"/>
          <w:sz w:val="22"/>
        </w:rPr>
        <w:t> </w:t>
      </w:r>
      <w:r>
        <w:rPr>
          <w:rFonts w:ascii="Times New Roman" w:hAnsi="Times New Roman"/>
          <w:b w:val="false"/>
          <w:i w:val="false"/>
          <w:color w:val="000000"/>
          <w:sz w:val="22"/>
        </w:rPr>
        <w:t>means spouse, parents and grandparents, children and grandchildren, brothers and sisters, mother-in-law and father-in-law, brothers-in-law and sisters-in-law, daughters-in-law and sons-in-law, and adopted and step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“Impact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“Inconclusive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XRF reading falling within the inconclusive range on the performance characteristic sheet, including the boundary values defining the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“Interim controls”</w:t>
      </w:r>
      <w:r>
        <w:rPr>
          <w:rFonts w:ascii="Times New Roman" w:hAnsi="Times New Roman"/>
          <w:b w:val="false"/>
          <w:i w:val="false"/>
          <w:color w:val="000000"/>
          <w:sz w:val="22"/>
        </w:rPr>
        <w:t> </w:t>
      </w:r>
      <w:r>
        <w:rPr>
          <w:rFonts w:ascii="Times New Roman" w:hAnsi="Times New Roman"/>
          <w:b w:val="false"/>
          <w:i w:val="false"/>
          <w:color w:val="000000"/>
          <w:sz w:val="22"/>
        </w:rPr>
        <w:t>means a set of measures designed to temporarily reduce human exposure or likely exposure to lead-based paint hazards, including repairing deteriorated lead-based paint, specialized cleaning, maintenance, painting, temporary containment, ongoing monitoring of lead-based paint hazards or potential hazards, and the establishment and operation of management and resident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“Interior windowsill”</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horizontal window ledge that protrudes into the interior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abatement”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measure or set of measures designed to permanently eliminate lead-based paint hazards in a residential dwelling or child-occupied facility. Lead abatement includes, but is not limited to, (1) the removal of lead-based paint and dust-lead hazards, the permanent enclosure or encapsulation of lead-based paint, the replacement of lead-painted surfaces or fixtures, and the removal or covering of soil-lead hazards and (2) all preparation, cleanup, disposal, repainting or refinishing, and postabatement clearance testing activities associated with such measures. “Lead abatement” specifically includes projects for which there is a written contract or other documentation, which provides that an individual will be conducting lead abatement in or around a residential dwelling or child-occupied facility. </w:t>
      </w:r>
    </w:p>
    <w:p>
      <w:pPr>
        <w:spacing w:before="0" w:after="0"/>
        <w:ind w:left="120"/>
        <w:jc w:val="both"/>
      </w:pPr>
      <w:r>
        <w:rPr>
          <w:rFonts w:ascii="Times New Roman" w:hAnsi="Times New Roman"/>
          <w:b w:val="false"/>
          <w:i w:val="false"/>
          <w:color w:val="000000"/>
          <w:sz w:val="22"/>
        </w:rPr>
        <w:t xml:space="preserve">“Lead abatement” also includes but is not limited to (1) projects for which there is a written contract or other document, which provides that an individual will be conducting activities in or to a residential dwelling or child-occupied facility that shall result in or are designed to permanently eliminate lead-based paint hazards, (2) projects resulting in the permanent elimination of lead-based paint hazards that are conducted by firms or individuals certified under rule </w:t>
      </w:r>
      <w:hyperlink r:id="rId15">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(3) projects resulting in the permanent elimination of lead-based paint hazards that are conducted by firms or individuals who, through their company name or promotional literature, represent, advertise, or hold themselves out to be in the business of performing lead abatement, and (4) projects resulting in the permanent elimination of lead-based paint that are conducted in response to a lead abatement order. However, in the case of items (1) through (4) of this definition, “lead abatement” does not include renovation, remodeling, landscaping, or other activities, when such activities are not designed to permanently eliminate lead-based paint hazards, but, instead, are designed to repair, restore, or remodel a given structure or dwelling, even though these activities may incidentally result in a reduction or elimination of lead-based paint hazards. Furthermore, “lead abatement” does not include interim controls, operations and maintenance activities, renovation, or other measures and activities designed to temporarily, but not permanently, reduce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w:t>
      </w:r>
      <w:r>
        <w:rPr>
          <w:rFonts w:ascii="Times New Roman" w:hAnsi="Times New Roman"/>
          <w:b w:val="false"/>
          <w:i w:val="false"/>
          <w:color w:val="000000"/>
          <w:sz w:val="22"/>
        </w:rPr>
        <w:t> </w:t>
      </w:r>
      <w:r>
        <w:rPr>
          <w:rFonts w:ascii="Times New Roman" w:hAnsi="Times New Roman"/>
          <w:b w:val="false"/>
          <w:i w:val="false"/>
          <w:color w:val="000000"/>
          <w:sz w:val="22"/>
        </w:rPr>
        <w:t>means paint or other surface coatings that contain lead greater than or equal to 1.0 milligram per square centimeter or greater than 0.5 percent by weight. Lead-based paint is present on any surface that is tested and found to contain lead greater than or equal to 1.0 milligram per square centimeter or greater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activities”</w:t>
      </w:r>
      <w:r>
        <w:rPr>
          <w:rFonts w:ascii="Times New Roman" w:hAnsi="Times New Roman"/>
          <w:b w:val="false"/>
          <w:i w:val="false"/>
          <w:color w:val="000000"/>
          <w:sz w:val="22"/>
        </w:rPr>
        <w:t> </w:t>
      </w:r>
      <w:r>
        <w:rPr>
          <w:rFonts w:ascii="Times New Roman" w:hAnsi="Times New Roman"/>
          <w:b w:val="false"/>
          <w:i w:val="false"/>
          <w:color w:val="000000"/>
          <w:sz w:val="22"/>
        </w:rPr>
        <w:t>means, in the case of target housing and child-occupied facilities, lead-free inspection, lead inspection, elevated blood lead (EBL) inspection, lead hazard screen, risk assessment, lead abatement, visual risk assessment, clearance testing conducted after lead abatement, clearance testing conducted after renovation, clearance testing conducted after interim controls, paint stabilization, standard treatments, ongoing lead-based paint maintenance, or rehabilitation pursuant to 24 CFR Part 35,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w:t>
      </w:r>
      <w:r>
        <w:rPr>
          <w:rFonts w:ascii="Times New Roman" w:hAnsi="Times New Roman"/>
          <w:b w:val="false"/>
          <w:i w:val="false"/>
          <w:color w:val="000000"/>
          <w:sz w:val="22"/>
        </w:rPr>
        <w:t>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 reduction activity”</w:t>
      </w:r>
      <w:r>
        <w:rPr>
          <w:rFonts w:ascii="Times New Roman" w:hAnsi="Times New Roman"/>
          <w:b w:val="false"/>
          <w:i w:val="false"/>
          <w:color w:val="000000"/>
          <w:sz w:val="22"/>
        </w:rPr>
        <w:t> </w:t>
      </w:r>
      <w:r>
        <w:rPr>
          <w:rFonts w:ascii="Times New Roman" w:hAnsi="Times New Roman"/>
          <w:b w:val="false"/>
          <w:i w:val="false"/>
          <w:color w:val="000000"/>
          <w:sz w:val="22"/>
        </w:rPr>
        <w:t>means an activity that permanently or temporarily reduces or eliminates lead-based paint hazards. “Lead-based paint hazard reduction activity” includes lead abatement,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“Lead-free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to determine whether a single dwelling unit or multifamily housing is free of lead-based paint and qualifies for the exemption in 24 CFR Part 35 and 40 CFR Part 745 for target housing being leased that is free of lead-based paint and the provision of a written report explaining the results of the lead-free inspection and options for reducing lead-based paint hazards to the property owner and to the person requesting the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hazard screen”</w:t>
      </w:r>
      <w:r>
        <w:rPr>
          <w:rFonts w:ascii="Times New Roman" w:hAnsi="Times New Roman"/>
          <w:b w:val="false"/>
          <w:i w:val="false"/>
          <w:color w:val="000000"/>
          <w:sz w:val="22"/>
        </w:rPr>
        <w:t> </w:t>
      </w:r>
      <w:r>
        <w:rPr>
          <w:rFonts w:ascii="Times New Roman" w:hAnsi="Times New Roman"/>
          <w:b w:val="false"/>
          <w:i w:val="false"/>
          <w:color w:val="000000"/>
          <w:sz w:val="22"/>
        </w:rPr>
        <w:t>means a limited risk assessment activity that involves limited paint and dust sampling and the provision of a written report explaining the results of the lead hazard screen to the property owner and to the person requesting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inspection”</w:t>
      </w:r>
      <w:r>
        <w:rPr>
          <w:rFonts w:ascii="Times New Roman" w:hAnsi="Times New Roman"/>
          <w:b w:val="false"/>
          <w:i w:val="false"/>
          <w:color w:val="000000"/>
          <w:sz w:val="22"/>
        </w:rPr>
        <w:t> </w:t>
      </w:r>
      <w:r>
        <w:rPr>
          <w:rFonts w:ascii="Times New Roman" w:hAnsi="Times New Roman"/>
          <w:b w:val="false"/>
          <w:i w:val="false"/>
          <w:color w:val="000000"/>
          <w:sz w:val="22"/>
        </w:rPr>
        <w:t>means a surface-by-surface investigation to determine the presence of lead-based paint and a determination of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lead inspection. A certified lead inspector/risk assessor or certified elevated blood lead (EBL) inspector/risk assessor shall not determine that a residential dwelling is free of lead-based paint as a result of a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conducts lead abatement, renovation, lead inspections, elevated blood lead (EBL) inspections, lead hazard screens, risk assessments, visual risk assessments, clearance testing after lead abatement, clearance testing after renovation, paint testing, or clearance testing after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“Lead-safe renovator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an eight-hour training program that provides training on how to work safely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“Lead-safe work practices”</w:t>
      </w:r>
      <w:r>
        <w:rPr>
          <w:rFonts w:ascii="Times New Roman" w:hAnsi="Times New Roman"/>
          <w:b w:val="false"/>
          <w:i w:val="false"/>
          <w:color w:val="000000"/>
          <w:sz w:val="22"/>
        </w:rPr>
        <w:t> </w:t>
      </w:r>
      <w:r>
        <w:rPr>
          <w:rFonts w:ascii="Times New Roman" w:hAnsi="Times New Roman"/>
          <w:b w:val="false"/>
          <w:i w:val="false"/>
          <w:color w:val="000000"/>
          <w:sz w:val="22"/>
        </w:rPr>
        <w:t>means methods that are used to minimize hazards when conducting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“Living area”</w:t>
      </w:r>
      <w:r>
        <w:rPr>
          <w:rFonts w:ascii="Times New Roman" w:hAnsi="Times New Roman"/>
          <w:b w:val="false"/>
          <w:i w:val="false"/>
          <w:color w:val="000000"/>
          <w:sz w:val="22"/>
        </w:rPr>
        <w:t> </w:t>
      </w:r>
      <w:r>
        <w:rPr>
          <w:rFonts w:ascii="Times New Roman" w:hAnsi="Times New Roman"/>
          <w:b w:val="false"/>
          <w:i w:val="false"/>
          <w:color w:val="000000"/>
          <w:sz w:val="22"/>
        </w:rPr>
        <w:t>means any area of a residential dwelling used by at least one child under the age of six years,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“Loading”</w:t>
      </w:r>
      <w:r>
        <w:rPr>
          <w:rFonts w:ascii="Times New Roman" w:hAnsi="Times New Roman"/>
          <w:b w:val="false"/>
          <w:i w:val="false"/>
          <w:color w:val="000000"/>
          <w:sz w:val="22"/>
        </w:rPr>
        <w:t> </w:t>
      </w:r>
      <w:r>
        <w:rPr>
          <w:rFonts w:ascii="Times New Roman" w:hAnsi="Times New Roman"/>
          <w:b w:val="false"/>
          <w:i w:val="false"/>
          <w:color w:val="000000"/>
          <w:sz w:val="22"/>
        </w:rPr>
        <w:t>means the quantity of a specific substance present per unit of surface area, such as the amount of lead in micrograms contained in the dust collected from a certain surface area divided by the surface area in square feet or square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“Mid-yard”</w:t>
      </w:r>
      <w:r>
        <w:rPr>
          <w:rFonts w:ascii="Times New Roman" w:hAnsi="Times New Roman"/>
          <w:b w:val="false"/>
          <w:i w:val="false"/>
          <w:color w:val="000000"/>
          <w:sz w:val="22"/>
        </w:rPr>
        <w:t>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repair and maintenance activities”</w:t>
      </w:r>
      <w:r>
        <w:rPr>
          <w:rFonts w:ascii="Times New Roman" w:hAnsi="Times New Roman"/>
          <w:b w:val="false"/>
          <w:i w:val="false"/>
          <w:color w:val="000000"/>
          <w:sz w:val="22"/>
        </w:rPr>
        <w:t> </w:t>
      </w:r>
      <w:r>
        <w:rPr>
          <w:rFonts w:ascii="Times New Roman" w:hAnsi="Times New Roman"/>
          <w:b w:val="false"/>
          <w:i w:val="false"/>
          <w:color w:val="000000"/>
          <w:sz w:val="22"/>
        </w:rPr>
        <w:t>means activities, including minor heating, ventilation or air-conditioning work, electrical work, and plumbing, that disrupt less than the minimum areas of a painted surface established in this definition where none of the work practices prohibited or restricted by this chapter are used and where the work does not involve window replacement or demolition of painted surface areas. When painted components or portions of painted components are removed, the entire surface area removed is the amount of painted surface disturbed. Projects, other than emergency renovation, performed in the same room within the same 30 days will be considered the same project for the purpose of determining whether the project is a minor repair and maintenance activity. Renovations performed in response to an elevated blood lead (EBL) inspection are not considered minor repair and maintenance activities. The minimum area for minor repair and maintenance activities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1.0 square foot of an interior painted or finished wood surface per renovation;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6.0 square feet of a painted or finished drywall or plaster surface per room;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20.0 square feet of an exterior painted or finished surface per renovation.</w:t>
      </w:r>
    </w:p>
    <w:p>
      <w:pPr>
        <w:spacing w:before="0" w:after="0"/>
        <w:ind w:left="120"/>
        <w:jc w:val="left"/>
      </w:pPr>
      <w:r>
        <w:rPr>
          <w:rFonts w:ascii="Times New Roman" w:hAnsi="Times New Roman"/>
          <w:b w:val="false"/>
          <w:i w:val="false"/>
          <w:color w:val="000000"/>
          <w:sz w:val="22"/>
        </w:rPr>
        <w:t>Projects performed pursuant to 24 CFR Part 35 shall comply with the de minimis levels in 24 CFR 35.1350 if these de minimis levels are more restrictive than the minimum areas of a painted surface established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contains more than one separate residential dwelling unit, which is used or occupied, or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housing”</w:t>
      </w:r>
      <w:r>
        <w:rPr>
          <w:rFonts w:ascii="Times New Roman" w:hAnsi="Times New Roman"/>
          <w:b w:val="false"/>
          <w:i w:val="false"/>
          <w:color w:val="000000"/>
          <w:sz w:val="22"/>
        </w:rPr>
        <w:t> </w:t>
      </w:r>
      <w:r>
        <w:rPr>
          <w:rFonts w:ascii="Times New Roman" w:hAnsi="Times New Roman"/>
          <w:b w:val="false"/>
          <w:i w:val="false"/>
          <w:color w:val="000000"/>
          <w:sz w:val="22"/>
        </w:rPr>
        <w:t>means one or more multifamily dwellings that are under the same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“Negative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value defined by the performance characteristics sheet as indicating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“NIST 1.02 standard film”</w:t>
      </w:r>
      <w:r>
        <w:rPr>
          <w:rFonts w:ascii="Times New Roman" w:hAnsi="Times New Roman"/>
          <w:b w:val="false"/>
          <w:i w:val="false"/>
          <w:color w:val="000000"/>
          <w:sz w:val="22"/>
        </w:rPr>
        <w:t> </w:t>
      </w:r>
      <w:r>
        <w:rPr>
          <w:rFonts w:ascii="Times New Roman" w:hAnsi="Times New Roman"/>
          <w:b w:val="false"/>
          <w:i w:val="false"/>
          <w:color w:val="000000"/>
          <w:sz w:val="22"/>
        </w:rPr>
        <w:t>means the National Institute of Standards and Technology 1.02 milligrams of lead per square centimeter standard reference material. If the specific 1.02 milligrams of lead per square centimeter standard is not available from NIST, then the lead inspector/risk assessor or elevated blood lead (EBL) inspector/risk assessor shall use the closest available standard from NIST (1.0X).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“Occupant protection plan”</w:t>
      </w:r>
      <w:r>
        <w:rPr>
          <w:rFonts w:ascii="Times New Roman" w:hAnsi="Times New Roman"/>
          <w:b w:val="false"/>
          <w:i w:val="false"/>
          <w:color w:val="000000"/>
          <w:sz w:val="22"/>
        </w:rPr>
        <w:t> </w:t>
      </w:r>
      <w:r>
        <w:rPr>
          <w:rFonts w:ascii="Times New Roman" w:hAnsi="Times New Roman"/>
          <w:b w:val="false"/>
          <w:i w:val="false"/>
          <w:color w:val="000000"/>
          <w:sz w:val="22"/>
        </w:rPr>
        <w:t>means a plan developed by a certified lead abatement contractor prior to the commencement of lead abatement in a residential dwelling or child-occupied facility that describes the measures and management procedures that will be taken during lead abatement to protect the building occupants from exposure to any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“Ongoing lead-based paint maintenance”</w:t>
      </w:r>
      <w:r>
        <w:rPr>
          <w:rFonts w:ascii="Times New Roman" w:hAnsi="Times New Roman"/>
          <w:b w:val="false"/>
          <w:i w:val="false"/>
          <w:color w:val="000000"/>
          <w:sz w:val="22"/>
        </w:rPr>
        <w:t> </w:t>
      </w:r>
      <w:r>
        <w:rPr>
          <w:rFonts w:ascii="Times New Roman" w:hAnsi="Times New Roman"/>
          <w:b w:val="false"/>
          <w:i w:val="false"/>
          <w:color w:val="000000"/>
          <w:sz w:val="22"/>
        </w:rPr>
        <w:t>means the maintenance of housing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“Painted component”</w:t>
      </w:r>
      <w:r>
        <w:rPr>
          <w:rFonts w:ascii="Times New Roman" w:hAnsi="Times New Roman"/>
          <w:b w:val="false"/>
          <w:i w:val="false"/>
          <w:color w:val="000000"/>
          <w:sz w:val="22"/>
        </w:rPr>
        <w:t> </w:t>
      </w:r>
      <w:r>
        <w:rPr>
          <w:rFonts w:ascii="Times New Roman" w:hAnsi="Times New Roman"/>
          <w:b w:val="false"/>
          <w:i w:val="false"/>
          <w:color w:val="000000"/>
          <w:sz w:val="22"/>
        </w:rPr>
        <w:t>means a component or building component that is at least partially covered with paint or other surface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“Paint-lead hazard”</w:t>
      </w:r>
      <w:r>
        <w:rPr>
          <w:rFonts w:ascii="Times New Roman" w:hAnsi="Times New Roman"/>
          <w:b w:val="false"/>
          <w:i w:val="false"/>
          <w:color w:val="000000"/>
          <w:sz w:val="22"/>
        </w:rPr>
        <w:t>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in a representative location using ASTM E1729, “Standard Practice for Field Collection of Dried Paint Samples for Lead Determination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stabilization”</w:t>
      </w:r>
      <w:r>
        <w:rPr>
          <w:rFonts w:ascii="Times New Roman" w:hAnsi="Times New Roman"/>
          <w:b w:val="false"/>
          <w:i w:val="false"/>
          <w:color w:val="000000"/>
          <w:sz w:val="22"/>
        </w:rPr>
        <w:t> </w:t>
      </w:r>
      <w:r>
        <w:rPr>
          <w:rFonts w:ascii="Times New Roman" w:hAnsi="Times New Roman"/>
          <w:b w:val="false"/>
          <w:i w:val="false"/>
          <w:color w:val="000000"/>
          <w:sz w:val="22"/>
        </w:rPr>
        <w:t>means repairing any physical defect in the substrate of a painted surface that is causing paint deterioration, removing loose paint and other material from the surface to be treated, and applying a new protective coating or paint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testing”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determining the presence or the absence of lead-based paint on a specific component or surface. Paint testing shall only be conducted by certified lead inspector/risk assessors or certified elevated blood lead (EBL) inspector/risk assessors using approved methods for testing. Approved methods for paint testing are XRF analysis and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“Performance characteristics sheet (PCS)”</w:t>
      </w:r>
      <w:r>
        <w:rPr>
          <w:rFonts w:ascii="Times New Roman" w:hAnsi="Times New Roman"/>
          <w:b w:val="false"/>
          <w:i w:val="false"/>
          <w:color w:val="000000"/>
          <w:sz w:val="22"/>
        </w:rPr>
        <w:t> </w:t>
      </w:r>
      <w:r>
        <w:rPr>
          <w:rFonts w:ascii="Times New Roman" w:hAnsi="Times New Roman"/>
          <w:b w:val="false"/>
          <w:i w:val="false"/>
          <w:color w:val="000000"/>
          <w:sz w:val="22"/>
        </w:rPr>
        <w:t>means an information sheet developed by the U.S. Environmental Protection Agency and U.S. Department of Housing and Urban Development that defines acceptable operating specifications and procedures for a specific model of X-ray fluorescence analyzer (XRF). The PCS contains information about XRF readings taken on specific substrates, calibration check tolerances, interpretation of XRF readings, and other aspects of the model’s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“Permanently covered soil”</w:t>
      </w:r>
      <w:r>
        <w:rPr>
          <w:rFonts w:ascii="Times New Roman" w:hAnsi="Times New Roman"/>
          <w:b w:val="false"/>
          <w:i w:val="false"/>
          <w:color w:val="000000"/>
          <w:sz w:val="22"/>
        </w:rPr>
        <w:t> </w:t>
      </w:r>
      <w:r>
        <w:rPr>
          <w:rFonts w:ascii="Times New Roman" w:hAnsi="Times New Roman"/>
          <w:b w:val="false"/>
          <w:i w:val="false"/>
          <w:color w:val="000000"/>
          <w:sz w:val="22"/>
        </w:rPr>
        <w:t>means soil that has been separated from human contact by the placement of a barrier consisting of solid, relatively impermeable materials, such as pavement or concrete. Grass, mulch, and other landscaping materials are not considered permanent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 area”</w:t>
      </w:r>
      <w:r>
        <w:rPr>
          <w:rFonts w:ascii="Times New Roman" w:hAnsi="Times New Roman"/>
          <w:b w:val="false"/>
          <w:i w:val="false"/>
          <w:color w:val="000000"/>
          <w:sz w:val="22"/>
        </w:rPr>
        <w:t>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value defined by the performance characteristics sheet as indicating the presence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“Postrenovation cleaning verification”</w:t>
      </w:r>
      <w:r>
        <w:rPr>
          <w:rFonts w:ascii="Times New Roman" w:hAnsi="Times New Roman"/>
          <w:b w:val="false"/>
          <w:i w:val="false"/>
          <w:color w:val="000000"/>
          <w:sz w:val="22"/>
        </w:rPr>
        <w:t> </w:t>
      </w:r>
      <w:r>
        <w:rPr>
          <w:rFonts w:ascii="Times New Roman" w:hAnsi="Times New Roman"/>
          <w:b w:val="false"/>
          <w:i w:val="false"/>
          <w:color w:val="000000"/>
          <w:sz w:val="22"/>
        </w:rPr>
        <w:t>means the use of a wet or dry disposable cleaning cloth to wipe the interior windowsill, window trough, uncarpeted floor, and countertops of the renovation work area and the comparison of the cloth to a cleaning verification card to determine if the work area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instructor”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the primary responsibility for organizing and teaching a particular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housing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“PHA”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county, municipality, or other governmental entity or public body that is authorized to engage in or assist in the development or operation of low-income housing. A PHA must be approved by the U.S. Department of Housing and Urban Development (HUD).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selection”</w:t>
      </w:r>
      <w:r>
        <w:rPr>
          <w:rFonts w:ascii="Times New Roman" w:hAnsi="Times New Roman"/>
          <w:b w:val="false"/>
          <w:i w:val="false"/>
          <w:color w:val="000000"/>
          <w:sz w:val="22"/>
        </w:rPr>
        <w:t> </w:t>
      </w:r>
      <w:r>
        <w:rPr>
          <w:rFonts w:ascii="Times New Roman" w:hAnsi="Times New Roman"/>
          <w:b w:val="false"/>
          <w:i w:val="false"/>
          <w:color w:val="000000"/>
          <w:sz w:val="22"/>
        </w:rPr>
        <w:t>means a method of choosing residential dwellings from multifamily housing consisting of similarly constructed and maintained residential dwellings such that each residential dwelling has an equal chance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laboratory”</w:t>
      </w:r>
      <w:r>
        <w:rPr>
          <w:rFonts w:ascii="Times New Roman" w:hAnsi="Times New Roman"/>
          <w:b w:val="false"/>
          <w:i w:val="false"/>
          <w:color w:val="000000"/>
          <w:sz w:val="22"/>
        </w:rPr>
        <w:t> </w:t>
      </w:r>
      <w:r>
        <w:rPr>
          <w:rFonts w:ascii="Times New Roman" w:hAnsi="Times New Roman"/>
          <w:b w:val="false"/>
          <w:i w:val="false"/>
          <w:color w:val="000000"/>
          <w:sz w:val="22"/>
        </w:rPr>
        <w:t>means an environmental laboratory recognized by the U.S. Environmental Protection Agency pursuant to Section 405(b) of the federal Toxic Substance Control Act as capable of performing an analysis for lead compounds in paint, soil,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test kit”</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kit recognized by the EPA under 40 CFR 745.88 as being capable of allowing a user to determine the presence of lead at levels equal to or in excess of 1.0 milligrams per square centimeter, or more than 0.5 percent by weight, in a paint chip, paint, powder, or painted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w:t>
      </w:r>
      <w:r>
        <w:rPr>
          <w:rFonts w:ascii="Times New Roman" w:hAnsi="Times New Roman"/>
          <w:b w:val="false"/>
          <w:i w:val="false"/>
          <w:color w:val="000000"/>
          <w:sz w:val="22"/>
        </w:rPr>
        <w:t> </w:t>
      </w:r>
      <w:r>
        <w:rPr>
          <w:rFonts w:ascii="Times New Roman" w:hAnsi="Times New Roman"/>
          <w:b w:val="false"/>
          <w:i w:val="false"/>
          <w:color w:val="000000"/>
          <w:sz w:val="22"/>
        </w:rPr>
        <w:t>means measures designed to reduce or eliminate human exposure to lead-based paint hazards through methods including interim controls and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“Reevaluation”</w:t>
      </w:r>
      <w:r>
        <w:rPr>
          <w:rFonts w:ascii="Times New Roman" w:hAnsi="Times New Roman"/>
          <w:b w:val="false"/>
          <w:i w:val="false"/>
          <w:color w:val="000000"/>
          <w:sz w:val="22"/>
        </w:rPr>
        <w:t> </w:t>
      </w:r>
      <w:r>
        <w:rPr>
          <w:rFonts w:ascii="Times New Roman" w:hAnsi="Times New Roman"/>
          <w:b w:val="false"/>
          <w:i w:val="false"/>
          <w:color w:val="000000"/>
          <w:sz w:val="22"/>
        </w:rPr>
        <w:t>means a visual assessment of painted surfaces and limited dust and soil sampling conducted periodically following a lead-based paint hazard reduction activity where lead-based paint is still present and the provision of a written report explaining the results of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“Refresher training course”</w:t>
      </w:r>
      <w:r>
        <w:rPr>
          <w:rFonts w:ascii="Times New Roman" w:hAnsi="Times New Roman"/>
          <w:b w:val="false"/>
          <w:i w:val="false"/>
          <w:color w:val="000000"/>
          <w:sz w:val="22"/>
        </w:rPr>
        <w:t> </w:t>
      </w:r>
      <w:r>
        <w:rPr>
          <w:rFonts w:ascii="Times New Roman" w:hAnsi="Times New Roman"/>
          <w:b w:val="false"/>
          <w:i w:val="false"/>
          <w:color w:val="000000"/>
          <w:sz w:val="22"/>
        </w:rPr>
        <w:t>means a course taken by a certified lead professional to maintain certification in a particular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entity”</w:t>
      </w:r>
      <w:r>
        <w:rPr>
          <w:rFonts w:ascii="Times New Roman" w:hAnsi="Times New Roman"/>
          <w:b w:val="false"/>
          <w:i w:val="false"/>
          <w:color w:val="000000"/>
          <w:sz w:val="22"/>
        </w:rPr>
        <w:t> </w:t>
      </w:r>
      <w:r>
        <w:rPr>
          <w:rFonts w:ascii="Times New Roman" w:hAnsi="Times New Roman"/>
          <w:b w:val="false"/>
          <w:i w:val="false"/>
          <w:color w:val="000000"/>
          <w:sz w:val="22"/>
        </w:rPr>
        <w:t>means any lead professional or firm that is regulated by the department by virtue of these rules, the Iowa Code, certification documents, approval documents, lead abatement notices,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w:t>
      </w:r>
      <w:r>
        <w:rPr>
          <w:rFonts w:ascii="Times New Roman" w:hAnsi="Times New Roman"/>
          <w:b w:val="false"/>
          <w:i w:val="false"/>
          <w:color w:val="000000"/>
          <w:sz w:val="22"/>
        </w:rPr>
        <w:t> </w:t>
      </w:r>
      <w:r>
        <w:rPr>
          <w:rFonts w:ascii="Times New Roman" w:hAnsi="Times New Roman"/>
          <w:b w:val="false"/>
          <w:i w:val="false"/>
          <w:color w:val="000000"/>
          <w:sz w:val="22"/>
        </w:rPr>
        <w:t>means the improvement of an existing structure through alterations, incidental additions, or enhancements. Rehabilitation includes repairs necessary to correct the results of deferred maintenance, the replacement of principal fixtures and components, improvements to increase the efficient use of energy, and installation of security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“Renovation”</w:t>
      </w:r>
      <w:r>
        <w:rPr>
          <w:rFonts w:ascii="Times New Roman" w:hAnsi="Times New Roman"/>
          <w:b w:val="false"/>
          <w:i w:val="false"/>
          <w:color w:val="000000"/>
          <w:sz w:val="22"/>
        </w:rPr>
        <w:t> </w:t>
      </w:r>
      <w:r>
        <w:rPr>
          <w:rFonts w:ascii="Times New Roman" w:hAnsi="Times New Roman"/>
          <w:b w:val="false"/>
          <w:i w:val="false"/>
          <w:color w:val="000000"/>
          <w:sz w:val="22"/>
        </w:rPr>
        <w:t>means the modification of any existing structure, or portion thereof, that results in the disturbance of painted surfaces, unless that activity is performed as part of lead abatement as defined by this chapter. The term “renovation” includes, but is not limited to, the removal, modification, or repair of painted surfaces or painted components such as modification of painted doors, surface restoration, and window repair; surface preparation activity such as sanding, scraping, or other such activities that may generate paint dust; the partial or complete removal of building components such as walls, ceilings, and windows; weatherization projects such as cutting holes in painted surfaces to install blown-in insulation or to gain access to attics and planning thresholds to install weatherstripping; and interim controls that disturb painted surfaces. “Renovation” does not include minor repair and maintenance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building”</w:t>
      </w:r>
      <w:r>
        <w:rPr>
          <w:rFonts w:ascii="Times New Roman" w:hAnsi="Times New Roman"/>
          <w:b w:val="false"/>
          <w:i w:val="false"/>
          <w:color w:val="000000"/>
          <w:sz w:val="22"/>
        </w:rPr>
        <w:t>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that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assessment”</w:t>
      </w:r>
      <w:r>
        <w:rPr>
          <w:rFonts w:ascii="Times New Roman" w:hAnsi="Times New Roman"/>
          <w:b w:val="false"/>
          <w:i w:val="false"/>
          <w:color w:val="000000"/>
          <w:sz w:val="22"/>
        </w:rPr>
        <w:t> </w:t>
      </w:r>
      <w:r>
        <w:rPr>
          <w:rFonts w:ascii="Times New Roman" w:hAnsi="Times New Roman"/>
          <w:b w:val="false"/>
          <w:i w:val="false"/>
          <w:color w:val="000000"/>
          <w:sz w:val="22"/>
        </w:rPr>
        <w:t>means an investigation to determine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“Room”</w:t>
      </w:r>
      <w:r>
        <w:rPr>
          <w:rFonts w:ascii="Times New Roman" w:hAnsi="Times New Roman"/>
          <w:b w:val="false"/>
          <w:i w:val="false"/>
          <w:color w:val="000000"/>
          <w:sz w:val="22"/>
        </w:rPr>
        <w:t> </w:t>
      </w:r>
      <w:r>
        <w:rPr>
          <w:rFonts w:ascii="Times New Roman" w:hAnsi="Times New Roman"/>
          <w:b w:val="false"/>
          <w:i w:val="false"/>
          <w:color w:val="000000"/>
          <w:sz w:val="22"/>
        </w:rPr>
        <w:t>means a separate part of the inside of a building, such as a bedroom, living room, dining room, kitchen, bathroom, laundry room, or utility room. To be considered a separate room, the room must be separated from adjoining rooms by built-in walls or archways that extend at least six inches from an intersecting wall. Half walls or bookcases count as room separators if built-in. Movable or collapsible partitions or partitions consisting solely of shelves or cabinets are not considered built-in walls. A screened-in porch that is used as a living area is a room. Each exterior side of the house is considered a separate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“Soil-lead hazard”</w:t>
      </w:r>
      <w:r>
        <w:rPr>
          <w:rFonts w:ascii="Times New Roman" w:hAnsi="Times New Roman"/>
          <w:b w:val="false"/>
          <w:i w:val="false"/>
          <w:color w:val="000000"/>
          <w:sz w:val="22"/>
        </w:rPr>
        <w:t>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in a representative location using ASTM E1727, “Standard Practice for Field Collection of Soil Samples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treatments”</w:t>
      </w:r>
      <w:r>
        <w:rPr>
          <w:rFonts w:ascii="Times New Roman" w:hAnsi="Times New Roman"/>
          <w:b w:val="false"/>
          <w:i w:val="false"/>
          <w:color w:val="000000"/>
          <w:sz w:val="22"/>
        </w:rPr>
        <w:t> </w:t>
      </w:r>
      <w:r>
        <w:rPr>
          <w:rFonts w:ascii="Times New Roman" w:hAnsi="Times New Roman"/>
          <w:b w:val="false"/>
          <w:i w:val="false"/>
          <w:color w:val="000000"/>
          <w:sz w:val="22"/>
        </w:rPr>
        <w:t>means a series of hazard reduction measures designed to reduce all lead-based paint hazards in a residential dwelling without the benefit of a risk assessment or other evaluation pursuant to 24 CFR Part 35. Standard treatments consist of the stabilization of all deteriorated interior and exterior paint, the provision of smooth and cleanable horizontal hard surfaces, the correction of dust-generating conditions (i.e., conditions causing rubbing, binding, or crushing of surfaces known to or presumed to be coated with lead-based paint), and the treatment of bare soil to control known or presumed soil-lead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certification examination”</w:t>
      </w:r>
      <w:r>
        <w:rPr>
          <w:rFonts w:ascii="Times New Roman" w:hAnsi="Times New Roman"/>
          <w:b w:val="false"/>
          <w:i w:val="false"/>
          <w:color w:val="000000"/>
          <w:sz w:val="22"/>
        </w:rPr>
        <w:t> </w:t>
      </w:r>
      <w:r>
        <w:rPr>
          <w:rFonts w:ascii="Times New Roman" w:hAnsi="Times New Roman"/>
          <w:b w:val="false"/>
          <w:i w:val="false"/>
          <w:color w:val="000000"/>
          <w:sz w:val="22"/>
        </w:rPr>
        <w:t>means a discipline-specific examination approved by the department to test the knowledge of a person who has completed an approved training course and is applying for certification in a particular discipline. The state certification examination may not be administered by the provider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w:t>
      </w:r>
      <w:r>
        <w:rPr>
          <w:rFonts w:ascii="Times New Roman" w:hAnsi="Times New Roman"/>
          <w:b w:val="false"/>
          <w:i w:val="false"/>
          <w:color w:val="000000"/>
          <w:sz w:val="22"/>
        </w:rPr>
        <w:t> </w:t>
      </w:r>
      <w:r>
        <w:rPr>
          <w:rFonts w:ascii="Times New Roman" w:hAnsi="Times New Roman"/>
          <w:b w:val="false"/>
          <w:i w:val="false"/>
          <w:color w:val="000000"/>
          <w:sz w:val="22"/>
        </w:rPr>
        <w:t>means the material underneath the paint or finish on a surface. Substrates are classified as brick, concrete, drywall, metal, plaster, 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 correction”</w:t>
      </w:r>
      <w:r>
        <w:rPr>
          <w:rFonts w:ascii="Times New Roman" w:hAnsi="Times New Roman"/>
          <w:b w:val="false"/>
          <w:i w:val="false"/>
          <w:color w:val="000000"/>
          <w:sz w:val="22"/>
        </w:rPr>
        <w:t> </w:t>
      </w:r>
      <w:r>
        <w:rPr>
          <w:rFonts w:ascii="Times New Roman" w:hAnsi="Times New Roman"/>
          <w:b w:val="false"/>
          <w:i w:val="false"/>
          <w:color w:val="000000"/>
          <w:sz w:val="22"/>
        </w:rPr>
        <w:t>means adjustments that must be made to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 correction value”</w:t>
      </w:r>
      <w:r>
        <w:rPr>
          <w:rFonts w:ascii="Times New Roman" w:hAnsi="Times New Roman"/>
          <w:b w:val="false"/>
          <w:i w:val="false"/>
          <w:color w:val="000000"/>
          <w:sz w:val="22"/>
        </w:rPr>
        <w:t> </w:t>
      </w:r>
      <w:r>
        <w:rPr>
          <w:rFonts w:ascii="Times New Roman" w:hAnsi="Times New Roman"/>
          <w:b w:val="false"/>
          <w:i w:val="false"/>
          <w:color w:val="000000"/>
          <w:sz w:val="22"/>
        </w:rPr>
        <w:t>means the value that is used to adjust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selection”</w:t>
      </w:r>
      <w:r>
        <w:rPr>
          <w:rFonts w:ascii="Times New Roman" w:hAnsi="Times New Roman"/>
          <w:b w:val="false"/>
          <w:i w:val="false"/>
          <w:color w:val="000000"/>
          <w:sz w:val="22"/>
        </w:rPr>
        <w:t> </w:t>
      </w:r>
      <w:r>
        <w:rPr>
          <w:rFonts w:ascii="Times New Roman" w:hAnsi="Times New Roman"/>
          <w:b w:val="false"/>
          <w:i w:val="false"/>
          <w:color w:val="000000"/>
          <w:sz w:val="22"/>
        </w:rPr>
        <w:t>means selecting residential dwellings from multifamily housing for risk assessments or lead hazard screens using information supplied by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housing”</w:t>
      </w:r>
      <w:r>
        <w:rPr>
          <w:rFonts w:ascii="Times New Roman" w:hAnsi="Times New Roman"/>
          <w:b w:val="false"/>
          <w:i w:val="false"/>
          <w:color w:val="000000"/>
          <w:sz w:val="22"/>
        </w:rPr>
        <w:t> </w:t>
      </w:r>
      <w:r>
        <w:rPr>
          <w:rFonts w:ascii="Times New Roman" w:hAnsi="Times New Roman"/>
          <w:b w:val="false"/>
          <w:i w:val="false"/>
          <w:color w:val="000000"/>
          <w:sz w:val="22"/>
        </w:rPr>
        <w:t>means housing constructed prior to 1978 with the exception of housing for the elderly or for persons with disabilities and housing that does not contain a bedroom, unless at least one child under the age of six years resides or is expected to reside in the housing for the elderly or persons with disabilities or housing that does not contain a bedroom. Target housing also includes any nonresidential building where lead-based paint activities are conducted prior to or during the conversion of the nonresidential building to target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combination”</w:t>
      </w:r>
      <w:r>
        <w:rPr>
          <w:rFonts w:ascii="Times New Roman" w:hAnsi="Times New Roman"/>
          <w:b w:val="false"/>
          <w:i w:val="false"/>
          <w:color w:val="000000"/>
          <w:sz w:val="22"/>
        </w:rPr>
        <w:t> </w:t>
      </w:r>
      <w:r>
        <w:rPr>
          <w:rFonts w:ascii="Times New Roman" w:hAnsi="Times New Roman"/>
          <w:b w:val="false"/>
          <w:i w:val="false"/>
          <w:color w:val="000000"/>
          <w:sz w:val="22"/>
        </w:rPr>
        <w:t>means the unique combination of the room, component, substrate, and distinct painting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hour”</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of actual learning, including but not limited to time devoted to lecture, learning activities, small group activities, demonstrations, evaluations, or hands-on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manager”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administering an approved course and monitoring the performance of principal instructors and guest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person or organization sponsoring a lead professional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“Visual inspection for clearance testing”</w:t>
      </w:r>
      <w:r>
        <w:rPr>
          <w:rFonts w:ascii="Times New Roman" w:hAnsi="Times New Roman"/>
          <w:b w:val="false"/>
          <w:i w:val="false"/>
          <w:color w:val="000000"/>
          <w:sz w:val="22"/>
        </w:rPr>
        <w:t> </w:t>
      </w:r>
      <w:r>
        <w:rPr>
          <w:rFonts w:ascii="Times New Roman" w:hAnsi="Times New Roman"/>
          <w:b w:val="false"/>
          <w:i w:val="false"/>
          <w:color w:val="000000"/>
          <w:sz w:val="22"/>
        </w:rPr>
        <w:t>means the visual examination of a residential dwelling or a child-occupied facility following lead abatement or following interim controls, paint stabilization, standard treatments, ongoing lead-based paint maintenance, or rehabilitation pursuant to 24 CFR 35.1340 to determine whether or not the lead abatement, interim controls, paint stabilization, standard treatments, ongoing lead-based paint maintenance, or rehabilitation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“Visual risk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assessment to determine the presence of deteriorated paint or other potential sources of lead-based paint hazards in a residential dwelling or child-occupied facility and the provision of a written report explaining the results of the assessment to the property owner and to the person requesting the visual risk assessment. For the purpose of compliance with this chapter, housing quality standards inspections conducted in housing owned by a public housing authority and housing that is receiving tenant-based rental assistance from a public housing authority are not considered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“Weighted arithmetic mean”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arithmetic mean of sample results weighted by the number of subsamples in each sample. Its purpose is to give influence to a sample relative to the surface area it represents. A single surface dust sample is comprised of a single dust subsample. A composite dust sample may contain from two to four dust subsamples of the same area as each other and of each single surface dust sample in the composite. The weighted arithmetic mean is obtained by summing, for all dust samples, the product of the dust sample’s result multiplied by the number of dust subsamples in the dust sample, and dividing the sum by the total number of dust subsamples contained in all dust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disposable cleaning cloth”</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premoistened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mopping system”</w:t>
      </w:r>
      <w:r>
        <w:rPr>
          <w:rFonts w:ascii="Times New Roman" w:hAnsi="Times New Roman"/>
          <w:b w:val="false"/>
          <w:i w:val="false"/>
          <w:color w:val="000000"/>
          <w:sz w:val="22"/>
        </w:rPr>
        <w:t> </w:t>
      </w:r>
      <w:r>
        <w:rPr>
          <w:rFonts w:ascii="Times New Roman" w:hAnsi="Times New Roman"/>
          <w:b w:val="false"/>
          <w:i w:val="false"/>
          <w:color w:val="000000"/>
          <w:sz w:val="22"/>
        </w:rPr>
        <w:t>means a device with the following characteristics: a long handle, a mop head designed to be used with disposable absorbent cleaning pads, a reservoir for cleaning solution, and a built-in mechanism for distributing or spraying the cleaning solution onto a floor, or a method of equivalent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sanding”</w:t>
      </w:r>
      <w:r>
        <w:rPr>
          <w:rFonts w:ascii="Times New Roman" w:hAnsi="Times New Roman"/>
          <w:b w:val="false"/>
          <w:i w:val="false"/>
          <w:color w:val="000000"/>
          <w:sz w:val="22"/>
        </w:rPr>
        <w:t> </w:t>
      </w:r>
      <w:r>
        <w:rPr>
          <w:rFonts w:ascii="Times New Roman" w:hAnsi="Times New Roman"/>
          <w:b w:val="false"/>
          <w:i w:val="false"/>
          <w:color w:val="000000"/>
          <w:sz w:val="22"/>
        </w:rPr>
        <w:t>means a process of removing loose paint in which a surface that is partially coated with paint or other surface coating is kept wet or moist during sanding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scraping”</w:t>
      </w:r>
      <w:r>
        <w:rPr>
          <w:rFonts w:ascii="Times New Roman" w:hAnsi="Times New Roman"/>
          <w:b w:val="false"/>
          <w:i w:val="false"/>
          <w:color w:val="000000"/>
          <w:sz w:val="22"/>
        </w:rPr>
        <w:t> </w:t>
      </w:r>
      <w:r>
        <w:rPr>
          <w:rFonts w:ascii="Times New Roman" w:hAnsi="Times New Roman"/>
          <w:b w:val="false"/>
          <w:i w:val="false"/>
          <w:color w:val="000000"/>
          <w:sz w:val="22"/>
        </w:rPr>
        <w:t>means a process of removing loose paint in which a surface that is partially coated with paint or other surface coating is kept wet or moist during scraping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“Windowsill”</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horizontal window ledge that protrudes into the interior of the room when the window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“Window trough”</w:t>
      </w:r>
      <w:r>
        <w:rPr>
          <w:rFonts w:ascii="Times New Roman" w:hAnsi="Times New Roman"/>
          <w:b w:val="false"/>
          <w:i w:val="false"/>
          <w:color w:val="000000"/>
          <w:sz w:val="22"/>
        </w:rPr>
        <w:t> </w:t>
      </w:r>
      <w:r>
        <w:rPr>
          <w:rFonts w:ascii="Times New Roman" w:hAnsi="Times New Roman"/>
          <w:b w:val="false"/>
          <w:i w:val="false"/>
          <w:color w:val="000000"/>
          <w:sz w:val="22"/>
        </w:rPr>
        <w:t>means, for a typical double-hung window, the portion of the exterior windowsill between the interior windowsill (or stool) and the frame of the storm window. If there is no storm window, the window trough is the area that receives both the upper and lower window sashes when they are both lowered. The window trough is sometimes referred to as the window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“Wipe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by wiping a representative surface of known area, as determined by ASTM E1728, “Standard Practice for Field Collection of Settled Dust Samples Using Wipe Sampling Methods for Lead Determination by Atomic Spectrometry Techniques,” as effective on March 26, 2025, or equivalent method, with an acceptable wipe material as defined in ASTM E1792, “Standard Specification for Wipe Sampling Materials for Lead in Surface Dust,” as effective on March 26, 2025. The minimum area for a floor wipe sample shall be 0.50 square feet or 72 square inches. The minimum area for a windowsill wipe sample and for a window trough wipe sample shall be 0.25 square feet or 36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“Worksite”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“work area”</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area where lead-based paint hazard reduction activity or renovation takes place. There may be more than one worksite in a dwelling unit or at a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“Worst case selection”</w:t>
      </w:r>
      <w:r>
        <w:rPr>
          <w:rFonts w:ascii="Times New Roman" w:hAnsi="Times New Roman"/>
          <w:b w:val="false"/>
          <w:i w:val="false"/>
          <w:color w:val="000000"/>
          <w:sz w:val="22"/>
        </w:rPr>
        <w:t> </w:t>
      </w:r>
      <w:r>
        <w:rPr>
          <w:rFonts w:ascii="Times New Roman" w:hAnsi="Times New Roman"/>
          <w:b w:val="false"/>
          <w:i w:val="false"/>
          <w:color w:val="000000"/>
          <w:sz w:val="22"/>
        </w:rPr>
        <w:t>means conducting a walk-through survey of all residential dwellings in the multifamily housing to select the highest-risk residential dwellings for risk assessments or lead hazard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fluorescence analyzer”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“XRF analyzer”</w:t>
      </w:r>
      <w:r>
        <w:rPr>
          <w:rFonts w:ascii="Times New Roman" w:hAnsi="Times New Roman"/>
          <w:b w:val="false"/>
          <w:i w:val="false"/>
          <w:color w:val="000000"/>
          <w:sz w:val="22"/>
        </w:rPr>
        <w:t> </w:t>
      </w:r>
      <w:r>
        <w:rPr>
          <w:rFonts w:ascii="Times New Roman" w:hAnsi="Times New Roman"/>
          <w:b w:val="false"/>
          <w:i w:val="false"/>
          <w:color w:val="000000"/>
          <w:sz w:val="22"/>
        </w:rPr>
        <w:t>means an instrument that determines lead concentrations in milligrams per square centimeter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using the principle of X-ray fluorescence.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“XRF reading”</w:t>
      </w:r>
      <w:r>
        <w:rPr>
          <w:rFonts w:ascii="Times New Roman" w:hAnsi="Times New Roman"/>
          <w:b w:val="false"/>
          <w:i w:val="false"/>
          <w:color w:val="000000"/>
          <w:sz w:val="22"/>
        </w:rPr>
        <w:t> </w:t>
      </w:r>
      <w:r>
        <w:rPr>
          <w:rFonts w:ascii="Times New Roman" w:hAnsi="Times New Roman"/>
          <w:b w:val="false"/>
          <w:i w:val="false"/>
          <w:color w:val="000000"/>
          <w:sz w:val="22"/>
        </w:rPr>
        <w:t>means the number obtained when a surface is tested with an X-ray fluorescence analyzer.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481—470.3</w:t>
      </w:r>
      <w:r>
        <w:rPr>
          <w:rFonts w:ascii="Times New Roman" w:hAnsi="Times New Roman"/>
          <w:b/>
          <w:i w:val="false"/>
          <w:color w:val="000000"/>
          <w:sz w:val="22"/>
        </w:rPr>
        <w:t xml:space="preserve">(10A) </w:t>
      </w:r>
      <w:r>
        <w:rPr>
          <w:rFonts w:ascii="Times New Roman" w:hAnsi="Times New Roman"/>
          <w:b/>
          <w:i w:val="false"/>
          <w:color w:val="000000"/>
          <w:sz w:val="22"/>
        </w:rPr>
        <w:t xml:space="preserve">Lead professional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470.3(1)</w:t>
      </w:r>
      <w:r>
        <w:rPr>
          <w:rFonts w:ascii="Times New Roman" w:hAnsi="Times New Roman"/>
          <w:b w:val="false"/>
          <w:i w:val="false"/>
          <w:color w:val="000000"/>
          <w:sz w:val="22"/>
        </w:rPr>
        <w:t> </w:t>
      </w:r>
      <w:r>
        <w:rPr>
          <w:rFonts w:ascii="Times New Roman" w:hAnsi="Times New Roman"/>
          <w:b w:val="false"/>
          <w:i w:val="false"/>
          <w:color w:val="000000"/>
          <w:sz w:val="22"/>
        </w:rPr>
        <w:t>A person or a firm that conducts lead abatement, renovation, clearance testing after lead abatement, lead-free inspections, lead inspections, elevated blood lead (EBL) inspections, lead hazard screens, risk assessments, visual risk assessments, clearance testing after renovation, or interim controls, paint stabilization, standard treatments, ongoing lead-based paint maintenance, or rehabilitation pursuant to 24 CFR Part 35 has to be certified by the department in the appropriate discipline. However, persons who perform these activities within residential dwellings that they, or an immediate family member, own and currently reside in, are not required to be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470.3(2)</w:t>
      </w:r>
      <w:r>
        <w:rPr>
          <w:rFonts w:ascii="Times New Roman" w:hAnsi="Times New Roman"/>
          <w:b w:val="false"/>
          <w:i w:val="false"/>
          <w:color w:val="000000"/>
          <w:sz w:val="22"/>
        </w:rPr>
        <w:t> </w:t>
      </w:r>
      <w:r>
        <w:rPr>
          <w:rFonts w:ascii="Times New Roman" w:hAnsi="Times New Roman"/>
          <w:b w:val="false"/>
          <w:i w:val="false"/>
          <w:color w:val="000000"/>
          <w:sz w:val="22"/>
        </w:rPr>
        <w:t>Persons who perform renovation under the supervision of a certified lead-safe renovator, certified lead abatement contractor, or certified lead abatement worker and who have completed on-the-job training are not required to be certified.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470.3(3)</w:t>
      </w:r>
      <w:r>
        <w:rPr>
          <w:rFonts w:ascii="Times New Roman" w:hAnsi="Times New Roman"/>
          <w:b w:val="false"/>
          <w:i w:val="false"/>
          <w:color w:val="000000"/>
          <w:sz w:val="22"/>
        </w:rPr>
        <w:t> </w:t>
      </w:r>
      <w:r>
        <w:rPr>
          <w:rFonts w:ascii="Times New Roman" w:hAnsi="Times New Roman"/>
          <w:b w:val="false"/>
          <w:i w:val="false"/>
          <w:color w:val="000000"/>
          <w:sz w:val="22"/>
        </w:rPr>
        <w:t>Elevated blood lead (EBL) inspections are conducted only by certified elevated blood lead (EBL) inspector/risk assessors employed by or under contract with the department, a local board of health, or a public housing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481—470.4</w:t>
      </w:r>
      <w:r>
        <w:rPr>
          <w:rFonts w:ascii="Times New Roman" w:hAnsi="Times New Roman"/>
          <w:b/>
          <w:i w:val="false"/>
          <w:color w:val="000000"/>
          <w:sz w:val="22"/>
        </w:rPr>
        <w:t xml:space="preserve">(10A) </w:t>
      </w:r>
      <w:r>
        <w:rPr>
          <w:rFonts w:ascii="Times New Roman" w:hAnsi="Times New Roman"/>
          <w:b/>
          <w:i w:val="false"/>
          <w:color w:val="000000"/>
          <w:sz w:val="22"/>
        </w:rPr>
        <w:t xml:space="preserve">Course approval and standards. </w:t>
      </w:r>
      <w:r>
        <w:rPr>
          <w:rFonts w:ascii="Times New Roman" w:hAnsi="Times New Roman"/>
          <w:b w:val="false"/>
          <w:i w:val="false"/>
          <w:color w:val="000000"/>
          <w:sz w:val="22"/>
        </w:rPr>
        <w:t xml:space="preserve">All lead professional training courses for initial certification and refresher training must be approved by the department. Training programs shall not state that they have been approved by the state of Iowa unless they have met the requirements of </w:t>
      </w:r>
      <w:hyperlink r:id="rId16">
        <w:r>
          <w:rPr>
            <w:rStyle w:val="Hyperlink"/>
            <w:rFonts w:ascii="Times New Roman" w:hAnsi="Times New Roman"/>
            <w:b w:val="false"/>
            <w:i w:val="false"/>
            <w:color w:val="000000"/>
            <w:sz w:val="22"/>
          </w:rPr>
          <w:t>641—70.4(10A)</w:t>
        </w:r>
      </w:hyperlink>
      <w:r>
        <w:rPr>
          <w:rFonts w:ascii="Times New Roman" w:hAnsi="Times New Roman"/>
          <w:b w:val="false"/>
          <w:i w:val="false"/>
          <w:color w:val="000000"/>
          <w:sz w:val="22"/>
        </w:rPr>
        <w:t xml:space="preserve"> and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w:t>
      </w:r>
      <w:r>
        <w:rPr>
          <w:rFonts w:ascii="Times New Roman" w:hAnsi="Times New Roman"/>
          <w:b w:val="false"/>
          <w:i w:val="false"/>
          <w:color w:val="000000"/>
          <w:sz w:val="22"/>
        </w:rPr>
        <w:t> </w:t>
      </w:r>
      <w:r>
        <w:rPr>
          <w:rFonts w:ascii="Times New Roman" w:hAnsi="Times New Roman"/>
          <w:b w:val="false"/>
          <w:i w:val="false"/>
          <w:color w:val="000000"/>
          <w:sz w:val="22"/>
        </w:rPr>
        <w:t>Training courses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program offering the course will employ a training manager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or graduate degree in building construction technology, engineering, industrial hygiene, safety, public health, or a related field; or two years of experience in managing a training program specializing in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designate a qualified principal instructor for each course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teaching workers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as a lead inspector/risk assessor, elevated blood lead (EBL) inspector/risk assessor, or lead abatement contractor. In the case of a course for training lead-safe renovators, the principal instructor may be certified as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instructor will be responsible for the organization of the course and oversight of the teaching of all course material. The training manager may designate guest instructors as needed to provide instruction specific to the lecture, hands-on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ensure the availability of, and provide adequate facilities for, the delivery of the lecture, course test, hands-on training, and assessment activities. This includes providing training equipment that reflects current work practices and maintaining or updating the equipment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manager shall maintain the validity and integrity of the hands-on skills assessment to ensure that it accurately evaluates the trainees’ performance of the work practices and procedures associated with the course topics contained in subrules </w:t>
      </w:r>
      <w:hyperlink r:id="rId17">
        <w:r>
          <w:rPr>
            <w:rStyle w:val="Hyperlink"/>
            <w:rFonts w:ascii="Times New Roman" w:hAnsi="Times New Roman"/>
            <w:b w:val="false"/>
            <w:i w:val="false"/>
            <w:color w:val="000000"/>
            <w:sz w:val="22"/>
          </w:rPr>
          <w:t>470.4(3) through 470.4(17)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maintain the validity and integrity of the course test to ensure that it accurately evaluates the trainees’ knowledge and retention of the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course test shall be developed in accordance with the test blueprint submitted with the course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issue unique course completion certificates to each student who passes the course. The course completion certificate shall be issued in color. The course completion certificate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name, last name and middle initial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and a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particular course that the student completed and the course length in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of course completion and test passage.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training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develop and implement a quality control plan. The plan shall be used to maintain and improve the quality of the training program over time. This plan shall contain at least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periodic revision of training materials and the course test to reflect changes in regulations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the training manager to conduct an annual review of the competency of the principal instructor and all other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program will offer courses that teach the work practice standards for conducting lead-based paint activities contained in rule </w:t>
      </w:r>
      <w:hyperlink r:id="rId18">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other standards developed by the department. These standards will be taught in the appropriate courses to provide trainees with the knowledge needed to perform the lead-based paint activities they are responsible for conducting.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each course meets the requirements in this rule for the number of training hours and hours of hands-on training. The training manager will ensure that any student who misses more than 20 minutes of class time makes up the time before taking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manager will ensure that the training program complies at all times with all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of the lead training courses will be in accordance with the subjects described specifically in each lead discipline contained in rule </w:t>
      </w:r>
      <w:hyperlink r:id="rId1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hands-on activities, denoted by an asterisk (*), shall include subjects that are also denoted with an asterisk (*) and listed in the related lead discipline contained in rule </w:t>
      </w:r>
      <w:hyperlink r:id="rId2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Each lead training course will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will provide an introduction of the online certification system used by the department. The instructor will advise each student on the procedures needed to apply to the department for certification and provide information to each student on the procedures needed for taking the state certification examination. The instructor will also provide each student with a current copy of this chapter and </w:t>
      </w:r>
      <w:hyperlink r:id="rId21">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allow the department to audit the training program to verify the contents of the application for approval and for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maintain, and make available to the department,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specified in paragraph </w:t>
      </w:r>
      <w:hyperlink r:id="rId22">
        <w:r>
          <w:rPr>
            <w:rStyle w:val="Hyperlink"/>
            <w:rFonts w:ascii="Times New Roman" w:hAnsi="Times New Roman"/>
            <w:b w:val="false"/>
            <w:i w:val="false"/>
            <w:color w:val="000000"/>
            <w:sz w:val="22"/>
          </w:rPr>
          <w:t>470.4(2)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curriculum/course materials and documents reflecting any changes made to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course test blueprint and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how the hands-on assessment is conducted including but not limited to who conducts the assessment, how the skills are graded, what facilities are used, and the pass/fail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control plan as described in paragraph </w:t>
      </w:r>
      <w:hyperlink r:id="rId23">
        <w:r>
          <w:rPr>
            <w:rStyle w:val="Hyperlink"/>
            <w:rFonts w:ascii="Times New Roman" w:hAnsi="Times New Roman"/>
            <w:b w:val="false"/>
            <w:i w:val="false"/>
            <w:color w:val="000000"/>
            <w:sz w:val="22"/>
          </w:rPr>
          <w:t>470.4(1)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file for each student who has completed a course. Each student file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student’s test and answer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course completion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student’s hands-on skill assessment,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as taken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file for each individual course that has been offered. Each file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instructors who taught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paper or electronic copy of the curriculum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the test used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times that each student was present at the course, including documentation of how a student made up missed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materials that have been submitted to the department as part of the program’s application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retain all required records at the address specified on the training program approval application for a minimum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notify the department within 30 days of changing the address specified on its training program approval application or transferring the records from that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at least seven days in advance of offering an approved course. The notification shall include the date(s), time(s), and location(s) where the approved course will be held. A training program shall notify the department at least 24 hours in advance of canceling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The training program will take a digital photograph of each student. The digital photograph shall be the same photograph that appears on the training certificate and is submitted to the department. The photograph shall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facing the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not be tilted.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head will cover approximately half of the photo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will be in front of a neutral or light-colored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will not wear any items that detract from the face, such as hats or sunglasses. Only head coverings worn for religious reasons may be worn. Religious head coverings may not cover the face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Photographs will be 24-bit color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roster each student who has taken the approved course into a database specified by the department. All students shall be rostered into the department database within 20 days of conclusion of an approved course. Rostering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completion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photograph of each student as taken by the training program in a format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470.4(2)</w:t>
      </w:r>
      <w:r>
        <w:rPr>
          <w:rFonts w:ascii="Times New Roman" w:hAnsi="Times New Roman"/>
          <w:b w:val="false"/>
          <w:i w:val="false"/>
          <w:color w:val="000000"/>
          <w:sz w:val="22"/>
        </w:rPr>
        <w:t> </w:t>
      </w:r>
      <w:r>
        <w:rPr>
          <w:rFonts w:ascii="Times New Roman" w:hAnsi="Times New Roman"/>
          <w:b w:val="false"/>
          <w:i w:val="false"/>
          <w:color w:val="000000"/>
          <w:sz w:val="22"/>
        </w:rPr>
        <w:t>If a training program desires approval of a course by the department, the training program will apply to the department for approval at least 90 days before the initial offering of the course. The department may allow courses to be offered sooner if the department completes the approval in less than 90 days.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program name, contact person,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 locations, including a description of the facilities and equipment to be used for lecture and hands-on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agenda, including approximate times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reference material, text, student manual, instructor manual, and audiovisual material used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qualifications of the training manager, principal instructor(s), and guest instructor(s). The following documents shall be submitted as evidence that training managers and principal instructors have the education, work experience, training requirements, or demonstrated experience required by subrule </w:t>
      </w:r>
      <w:hyperlink r:id="rId24">
        <w:r>
          <w:rPr>
            <w:rStyle w:val="Hyperlink"/>
            <w:rFonts w:ascii="Times New Roman" w:hAnsi="Times New Roman"/>
            <w:b w:val="false"/>
            <w:i w:val="false"/>
            <w:color w:val="000000"/>
            <w:sz w:val="22"/>
          </w:rPr>
          <w:t>470.4(1)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Certificates from lead-specific training courses, as evidence of meeting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course test blueprint.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and procedures that will be used for conducting the assessment of hands-on skills for each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Maximum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the quality control plan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a course must be at least 40 training hours with a minimum of 12 hours devoted to hands-on training activities (*). Lead inspector/risk assessor and elevated blood lead (EBL) inspector/risk assessor training courses will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an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Lead-based paint inspection methods, including selection of rooms and components for sampling or testing to determine if a property is free of lead-based paint as specified in the Guidelines for the Evaluation and Control of Lead-Based Paint Hazards in Housing ((2012), U.S. Department of Housing and Urban Development),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Visual risk assessment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visual assessments, lead hazard screens, clearance testing after lead abatement, clearance testing after renovation, reevaluation,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470.4(4)</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inspector/risk assessors and elevated blood lead (EBL) inspector/risk assessors who have already completed an approved sampling technician course, a course must be at least 20 training hours with a minimum of 8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inspector/risk assessor and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Lead-based paint inspection methods, including selection of rooms and components for sampling or testing to determine if a property is free of lead-based paint as specified in the work practice standards in rule </w:t>
      </w:r>
      <w:hyperlink r:id="rId25">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 including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lead hazard screens, reevaluation, and clearance testing after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470.4(5)</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elevated blood lead (EBL) inspector/risk assessor, a course must be at least a four-hour training course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responsibility of an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childhood lead poisoning prevention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EBL lead inspection protocol described in this chapter and the EBL inspection protocol recommended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and medical case management of lead-poisoned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effects of lead poisoning including an in-depth review of the scientific studies demonstrating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Chelation therapy including at what levels it is recommended and when it might not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Risk of childhood lead exposure from adult occupations or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Case scenarios.*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470.4(6)</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a course must be at least 40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470.4(7)</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contractors who have already completed an approved lead abatement worker course, a course must be at least 16 training hours with a minimum of 4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470.4(8)</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 abatement workers, a course must be at least 24 training hours with a minimum of 8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470.4(9)</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sampling technicians, a course must be at least 20 training hours with a minimum of 4 hours devoted to hands-on training activities (*). The training course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conducting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interior dust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exterior dust and soil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visual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Preparation of clearance testing reports for clearance testing after renovation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470.4(10)</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project designers, a course must be at least 48 instructional training hours with a minimum of 12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Recordkeeping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470.4(11)</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contractor course, a course must be at least eight instructional training hours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470.4(12)</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worker course, a course must be at least 24 instructional training hours with a minimum of 4 hours devoted to hands-on activities (*)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lead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the training of lead-safe renovators, a course must be at least eight instructional training hours with a minimum of two hours devoted to hands-on activities (*)  and shall cover at least the following subjects: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lead-based paint activities, and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Renovation methods to minimize the creation of dust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methods of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Waste handling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preparation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470.4(14)</w:t>
      </w:r>
      <w:r>
        <w:rPr>
          <w:rFonts w:ascii="Times New Roman" w:hAnsi="Times New Roman"/>
          <w:b w:val="false"/>
          <w:i w:val="false"/>
          <w:color w:val="000000"/>
          <w:sz w:val="22"/>
        </w:rPr>
        <w:t> </w:t>
      </w:r>
      <w:r>
        <w:rPr>
          <w:rFonts w:ascii="Times New Roman" w:hAnsi="Times New Roman"/>
          <w:b w:val="false"/>
          <w:i w:val="false"/>
          <w:color w:val="000000"/>
          <w:sz w:val="22"/>
        </w:rPr>
        <w:t xml:space="preserve">A refresher training course for sampling technicians, lead abatement contractors, lead abatement workers, and project designers must be at least eight hours of training. Pursuant to the recertification requirements of subrule </w:t>
      </w:r>
      <w:hyperlink r:id="rId26">
        <w:r>
          <w:rPr>
            <w:rStyle w:val="Hyperlink"/>
            <w:rFonts w:ascii="Times New Roman" w:hAnsi="Times New Roman"/>
            <w:b w:val="false"/>
            <w:i w:val="false"/>
            <w:color w:val="000000"/>
            <w:sz w:val="22"/>
          </w:rPr>
          <w:t>470.5(6)</w:t>
        </w:r>
      </w:hyperlink>
      <w:r>
        <w:rPr>
          <w:rFonts w:ascii="Times New Roman" w:hAnsi="Times New Roman"/>
          <w:b w:val="false"/>
          <w:i w:val="false"/>
          <w:color w:val="000000"/>
          <w:sz w:val="22"/>
        </w:rPr>
        <w:t xml:space="preserve">, a refresher training course for lead inspector/risk assessors and elevated blood lead (EBL) inspector/risk assessors who completed an approved 24-hour training course must be at least 8 hours of training. Pursuant to the recertification requirements of subrule </w:t>
      </w:r>
      <w:hyperlink r:id="rId27">
        <w:r>
          <w:rPr>
            <w:rStyle w:val="Hyperlink"/>
            <w:rFonts w:ascii="Times New Roman" w:hAnsi="Times New Roman"/>
            <w:b w:val="false"/>
            <w:i w:val="false"/>
            <w:color w:val="000000"/>
            <w:sz w:val="22"/>
          </w:rPr>
          <w:t>470.5(6)</w:t>
        </w:r>
      </w:hyperlink>
      <w:r>
        <w:rPr>
          <w:rFonts w:ascii="Times New Roman" w:hAnsi="Times New Roman"/>
          <w:b w:val="false"/>
          <w:i w:val="false"/>
          <w:color w:val="000000"/>
          <w:sz w:val="22"/>
        </w:rPr>
        <w:t>, a refresher training course for lead inspector/risk assessors and EBL inspector/risk assessors must be at least 16 hours of training. A refresher training course for lead-safe renovators must be at least four hours of training. All refresher training courses shall cover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curriculum topics of the initial certification course for the appropriate discipline as listed in subrules </w:t>
      </w:r>
      <w:hyperlink r:id="rId28">
        <w:r>
          <w:rPr>
            <w:rStyle w:val="Hyperlink"/>
            <w:rFonts w:ascii="Times New Roman" w:hAnsi="Times New Roman"/>
            <w:b w:val="false"/>
            <w:i w:val="false"/>
            <w:color w:val="000000"/>
            <w:sz w:val="22"/>
          </w:rPr>
          <w:t>470.4(3) through 470.4(13)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overview of current safety practices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laws and regulations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technologies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470.4(15)</w:t>
      </w:r>
      <w:r>
        <w:rPr>
          <w:rFonts w:ascii="Times New Roman" w:hAnsi="Times New Roman"/>
          <w:b w:val="false"/>
          <w:i w:val="false"/>
          <w:color w:val="000000"/>
          <w:sz w:val="22"/>
        </w:rPr>
        <w:t> </w:t>
      </w:r>
      <w:r>
        <w:rPr>
          <w:rFonts w:ascii="Times New Roman" w:hAnsi="Times New Roman"/>
          <w:b w:val="false"/>
          <w:i w:val="false"/>
          <w:color w:val="000000"/>
          <w:sz w:val="22"/>
        </w:rPr>
        <w:t>Approvals of training courses shall expire three years after the date of issuance. The training manager will submit the following at least 30 days prior to the expiration date for a course to be reapproved: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contact person,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courses for which reapproval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to the training staff, facility, equipment, or course materials since the approval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signed by the training manager stating that the training program complies at all times with rule </w:t>
      </w:r>
      <w:hyperlink r:id="rId29">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470.4(16)</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a request for approval of a training course that has been approved by a state or tribe authorized by the U.S.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shall be approved if it meets the requirements of rule </w:t>
      </w:r>
      <w:hyperlink r:id="rId30">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course does not meet all of the requirements of </w:t>
      </w:r>
      <w:hyperlink r:id="rId31">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 xml:space="preserve">(10A), the department shall inform the training provider of additional topics and training hours that are needed to meet the requirements of rule </w:t>
      </w:r>
      <w:hyperlink r:id="rId32">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481—470.5</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interim certification, and recertification. </w:t>
      </w:r>
      <w:r>
        <w:rPr>
          <w:rFonts w:ascii="Times New Roman" w:hAnsi="Times New Roman"/>
          <w:b w:val="false"/>
          <w:i w:val="false"/>
          <w:color w:val="000000"/>
          <w:sz w:val="22"/>
        </w:rPr>
        <w:t>The department issues certifications and recertifications for a three-year time period. Applications for certification or recertification may be made electronically in a format specified by the department or using a paper application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470.5(1)</w:t>
      </w:r>
      <w:r>
        <w:rPr>
          <w:rFonts w:ascii="Times New Roman" w:hAnsi="Times New Roman"/>
          <w:b w:val="false"/>
          <w:i w:val="false"/>
          <w:color w:val="000000"/>
          <w:sz w:val="22"/>
        </w:rPr>
        <w:t> </w:t>
      </w:r>
      <w:r>
        <w:rPr>
          <w:rFonts w:ascii="Times New Roman" w:hAnsi="Times New Roman"/>
          <w:b w:val="false"/>
          <w:i w:val="false"/>
          <w:color w:val="000000"/>
          <w:sz w:val="22"/>
        </w:rPr>
        <w:t>To become a certified lead professional,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an approved course for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lead inspector/risk assessor or a certified elevated blood lead (EBL) inspector/risk assessor, documentation of successful completion of the manufacturer’s training course or equivalent for the XRF analyzer that the inspector/risk assessor or elevated blood lead (EBL) inspector/risk assessor will use to conduct lead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intending to become a certified elevated blood lead (EBL) inspector/risk assessor, documentation of successful completion of a four-hour elevated blood lead (EBL) inspector/risk assessor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additional experience and education requirements in subrule </w:t>
      </w:r>
      <w:hyperlink r:id="rId33">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 xml:space="preserve"> for the discipline in which the applicant intends to become certified. The following documents will be submitted as evidence that the applicant has the education and work experience required by subrule </w:t>
      </w:r>
      <w:hyperlink r:id="rId34">
        <w:r>
          <w:rPr>
            <w:rStyle w:val="Hyperlink"/>
            <w:rFonts w:ascii="Times New Roman" w:hAnsi="Times New Roman"/>
            <w:b w:val="false"/>
            <w:i w:val="false"/>
            <w:color w:val="000000"/>
            <w:sz w:val="22"/>
          </w:rPr>
          <w:t>470.5(2)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inspector/risk assessor, elevated blood lead (EBL) inspector/risk assessor, lead abatement contractor, or project designer, a certificate showing that the applicant has passed the state certification examination in the discipline in which the applicant intends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receive interim certification from the department as a lead inspector/risk assessor, elevated blood lead (EBL) inspector/risk assessor, lead abatement contractor, or project designer by submitting the items required by paragraphs </w:t>
      </w:r>
      <w:hyperlink r:id="rId35">
        <w:r>
          <w:rPr>
            <w:rStyle w:val="Hyperlink"/>
            <w:rFonts w:ascii="Times New Roman" w:hAnsi="Times New Roman"/>
            <w:b w:val="false"/>
            <w:i w:val="false"/>
            <w:color w:val="000000"/>
            <w:sz w:val="22"/>
          </w:rPr>
          <w:t>470.5(1)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to the department. Interim certification expires six months from the date of completion of an approved course. An applicant may upgrade an interim certification to a certification by submitting a certificate to the department showing that the applicant has passed the state certification examination as required by paragraph </w:t>
      </w:r>
      <w:hyperlink r:id="rId36">
        <w:r>
          <w:rPr>
            <w:rStyle w:val="Hyperlink"/>
            <w:rFonts w:ascii="Times New Roman" w:hAnsi="Times New Roman"/>
            <w:b w:val="false"/>
            <w:i w:val="false"/>
            <w:color w:val="000000"/>
            <w:sz w:val="22"/>
          </w:rPr>
          <w:t>470.5(1)</w:t>
        </w:r>
      </w:hyperlink>
      <w:r>
        <w:rPr>
          <w:rFonts w:ascii="Times New Roman" w:hAnsi="Times New Roman"/>
          <w:b w:val="false"/>
          <w:i/>
          <w:color w:val="000000"/>
          <w:sz w:val="22"/>
        </w:rPr>
        <w:t>“f.”</w:t>
      </w:r>
      <w:r>
        <w:rPr>
          <w:rFonts w:ascii="Times New Roman" w:hAnsi="Times New Roman"/>
          <w:b w:val="false"/>
          <w:i w:val="false"/>
          <w:color w:val="000000"/>
          <w:sz w:val="22"/>
        </w:rPr>
        <w:t xml:space="preserve"> Interim certification is equivalent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470.5(2)</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professional, an applicant must meet the education and experience requirements for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Lead inspector/risk assessors and elevated blood lead (EBL) inspector/risk assessors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Associate’s degree and two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three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Lead abatement contractors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as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related experience or education (e.g., lead, housing inspection, building trades, property management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 abatement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Sampling technicians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Associate’s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designers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in engineering, architecture, or a related profession, and one year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mandated for lead-safe renovators.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470.5(3)</w:t>
      </w:r>
      <w:r>
        <w:rPr>
          <w:rFonts w:ascii="Times New Roman" w:hAnsi="Times New Roman"/>
          <w:b w:val="false"/>
          <w:i w:val="false"/>
          <w:color w:val="000000"/>
          <w:sz w:val="22"/>
        </w:rPr>
        <w:t> </w:t>
      </w:r>
      <w:r>
        <w:rPr>
          <w:rFonts w:ascii="Times New Roman" w:hAnsi="Times New Roman"/>
          <w:b w:val="false"/>
          <w:i w:val="false"/>
          <w:color w:val="000000"/>
          <w:sz w:val="22"/>
        </w:rPr>
        <w:t>Review of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an applicant for licensure petitions the department for an eligibility determination pursuant to paragraph </w:t>
      </w:r>
      <w:hyperlink r:id="rId37">
        <w:r>
          <w:rPr>
            <w:rStyle w:val="Hyperlink"/>
            <w:rFonts w:ascii="Times New Roman" w:hAnsi="Times New Roman"/>
            <w:b w:val="false"/>
            <w:i w:val="false"/>
            <w:color w:val="000000"/>
            <w:sz w:val="22"/>
          </w:rPr>
          <w:t>470.5(3)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certification application. Failure to disclose all convictions is grounds for certification denial or disciplinary action following certification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certification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submit any evidence of rehabilitation that the applicant wishes to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certification if the applicant has a disqualifying offense unless the applicant demonstrates by clear and convincing evidence that the applicant is rehabilitated pursuant to Iowa Code section </w:t>
      </w:r>
      <w:hyperlink r:id="rId3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with disqualifying offenses who has been found rehabilitated must still satisfy all other requirements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Application fees paid will not be refunded if the certification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certification application may petition the department for a determination of whether one or more of the individual’s convictions are disqualifying offenses that would render the individual ineligible for certification. To do so,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deemed ineligible or an applicant denied a certification because of a disqualifying offense may appeal the decision, in writing, within 20 days of the date of the department’s written decision or in another manner and timeframe set forth in the department’s written decision. A timely appeal will initiate a nondisciplinary contested case proceeding. The department’s rules governing contested case proceedings at </w:t>
      </w:r>
      <w:hyperlink r:id="rId3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apply unless otherwise specified in this rule. If the petitioner or applicant fails to timely appeal, the department’s written decision becomes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final order determines a petitioner is ineligible, the petitioner may not submit a subsequent petition for eligibility determination or a certification application prior to the date specified in the final order. If a final order denies a certification application, the applicant may not submit a subsequent certification application or a petition for eligibility determination prior to the date specified in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470.5(4)</w:t>
      </w:r>
      <w:r>
        <w:rPr>
          <w:rFonts w:ascii="Times New Roman" w:hAnsi="Times New Roman"/>
          <w:b w:val="false"/>
          <w:i w:val="false"/>
          <w:color w:val="000000"/>
          <w:sz w:val="22"/>
        </w:rPr>
        <w:t> </w:t>
      </w:r>
      <w:r>
        <w:rPr>
          <w:rFonts w:ascii="Times New Roman" w:hAnsi="Times New Roman"/>
          <w:b w:val="false"/>
          <w:i w:val="false"/>
          <w:color w:val="000000"/>
          <w:sz w:val="22"/>
        </w:rPr>
        <w:t>Individuals applying for renewal as lead professionals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showing that the applicant has successfully completed an approved refresher training course for the appropriate discipline. The refresher training course has to be completed no more than three years prior to the date of the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470.5(5)</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the state certification examinations for the disciplines of lead inspector/risk assessor, elevated blood lead (EBL) inspector/risk assessor, lead abatement contractor, and project designer. The state certification examination shall be administered by selected community college testing centers in Iowa. A community college testing center will set the fee for administering the state certification examination to each applicant and collect the fee from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achieve a score of at least 80 percent on the examination. An individual may take the state certification examination no more than three times within six months of receiving a certificate of completion from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the state certification examination within six months of receiving a certificate of completion from an approved course, the individual must retake the appropriate approved course before reapplying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470.5(6)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certification who is certified in any of the disciplines specified in this rule in another state may request reciprocal certification. The department will evaluate the requirements for certification to determine that the requirements for certification in such other state are as protective of health and the environment as the requirements for certification in Iowa. For all disciplines except lead-safe renovator and lead abatement worker, if the department determines that the requirements for certification in such other state are as protective of health and the environment as the requirements for certification in Iowa, the applicant may be certified after passing a proctored test covering Iowa-specific lead information with a score of at least 80 percent. For a lead-safe renovator and lead abatement worker, if the department determines that the requirements for certification in such other state are as protective of health and the environment as the requirements for certification in Iowa, the applicant may be certified after signing a statement indicating that the applicant has read and understands Iowa-specific lead information provided by the department. Each applicant for certification pursuant to this subrule will submit the appropriate application accompanied by the fee for each discipline as specified in rule </w:t>
      </w:r>
      <w:hyperlink r:id="rId4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481—470.6</w:t>
      </w:r>
      <w:r>
        <w:rPr>
          <w:rFonts w:ascii="Times New Roman" w:hAnsi="Times New Roman"/>
          <w:b/>
          <w:i w:val="false"/>
          <w:color w:val="000000"/>
          <w:sz w:val="22"/>
        </w:rPr>
        <w:t xml:space="preserve">(10A) </w:t>
      </w:r>
      <w:r>
        <w:rPr>
          <w:rFonts w:ascii="Times New Roman" w:hAnsi="Times New Roman"/>
          <w:b/>
          <w:i w:val="false"/>
          <w:color w:val="000000"/>
          <w:sz w:val="22"/>
        </w:rPr>
        <w:t xml:space="preserve">Work practice standards for lead professionals conducting lead-based paint activities in target housing and child-occupied facilities. </w:t>
      </w:r>
      <w:r>
        <w:rPr>
          <w:rFonts w:ascii="Times New Roman" w:hAnsi="Times New Roman"/>
          <w:b w:val="false"/>
          <w:i w:val="false"/>
          <w:color w:val="000000"/>
          <w:sz w:val="22"/>
        </w:rPr>
        <w:t>All lead-based paint activities shall be performed according to the work practice standards herein. A certified individual shall perform that activity in compliance with the standards herein.</w:t>
      </w:r>
    </w:p>
    <w:p>
      <w:pPr>
        <w:spacing w:before="0" w:after="0"/>
        <w:ind w:left="120"/>
        <w:jc w:val="both"/>
      </w:pPr>
      <w:r>
        <w:rPr>
          <w:rFonts w:ascii="Times New Roman" w:hAnsi="Times New Roman"/>
          <w:b/>
          <w:i w:val="false"/>
          <w:color w:val="000000"/>
          <w:sz w:val="22"/>
        </w:rPr>
        <w:t>470.6(1)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a lead-free inspection according to the following standards. A lead-free inspection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a residential dwelling,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will test each testing combination in each room. On windows, the window frame, interior windowsill, window sash, and window trough will each be considered a separate testing combination. Except for walls, one sample will be taken for each testing combination in a room. Each wall in a room will be tested. The certified lead inspector/risk assessor or elevated blood lead (EBL) inspector/risk assessor will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under penalty of perjury per Iowa Code section </w:t>
      </w:r>
      <w:hyperlink r:id="rId42">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will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note any components where lead-based paint has been enclosed or encapsulated. The certified lead inspector/risk assessor or elevated blood lead (EBL) inspector/risk assessor will not make a determination that the residential dwelling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(XRF)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the final set of calibration readings and 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instructed by the property owner or the person requesting the report, the certified lead inspector/risk assessor or elevated blood lead (EBL) inspector/risk assessor may assume that inconclusive readings are positive, but will not assume that inconclusive readings are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 described by the performance characteristics sheet, the certified lead inspector/risk assessor or elevated blood lead (EBL) inspector/risk assessor will conduct retesting of ten surfaces, calculate the retest tolerance limit, and determine whether the inspection meets the retest tolerance limit. If the retest tolerance limit is not met, then this procedure will be repeated with ten additional surfaces. If the retest tolerance limit is not met with the 20 retested surfaces, then all results of the inspection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each testing combination in the residential dwelling is found to be free of lead-based paint, then the residential dwelling is free of lead-based paint. If any surface in the residential dwelling is found to be painted with lead-based paint, then the residential dwelling is not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 lead-free inspection,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lead-free inspection is completed. No later than three weeks after the receipt of laboratory results, the certified lead inspector/risk assessor or certified elevated blood lead (EBL) inspector/risk assessor will send a copy of the report to the property owner and to the person requesting the lead-free inspection,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the residential dwelling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results of retesting of ten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If the certified lead inspector/risk assessor or certified elevated blood lead (EBL) inspector/risk assessor determines that the residential dwelling is free of lead-based paint, the report will contain the following statement:</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in paint was found on any building components, using the inspection protocol in Chapter </w:t>
      </w:r>
      <w:hyperlink r:id="rId43">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of the Guidelines for the Evaluation and Control of Lead-Based Paint Hazards in Housing ((2012), U.S. Department of Housing and Urban Development). Therefore, this residential dwelling qualifies for the exemption in 24 CFR Part 35 and </w:t>
      </w:r>
      <w:r>
        <w:rPr>
          <w:rFonts w:ascii="Times New Roman" w:hAnsi="Times New Roman"/>
          <w:b w:val="false"/>
          <w:i w:val="false"/>
          <w:color w:val="000000"/>
          <w:sz w:val="22"/>
        </w:rPr>
        <w:t>40 CFR Part 745</w:t>
      </w:r>
      <w:r>
        <w:rPr>
          <w:rFonts w:ascii="Times New Roman" w:hAnsi="Times New Roman"/>
          <w:b w:val="false"/>
          <w:i w:val="false"/>
          <w:color w:val="000000"/>
          <w:sz w:val="22"/>
        </w:rPr>
        <w:t xml:space="preserve"> for target housing being leased that is free of lead-based paint, as defined in the rule. However, some painted surfaces may contain levels of lead below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which could create lead dust or lead-contaminated soil hazards if the paint is turned into dust by abrasion, scraping, or sanding. This report should be kept by the owner and all future owners for the life of the residential dwelling. Per the disclosure requirements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Subpart I of </w:t>
      </w:r>
      <w:r>
        <w:rPr>
          <w:rFonts w:ascii="Times New Roman" w:hAnsi="Times New Roman"/>
          <w:b w:val="false"/>
          <w:i w:val="false"/>
          <w:color w:val="000000"/>
          <w:sz w:val="22"/>
        </w:rPr>
        <w:t>40 CFR Part 745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remodeling and repainting found in </w:t>
      </w:r>
      <w:hyperlink r:id="rId4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report will contain the following statement:</w:t>
      </w:r>
    </w:p>
    <w:p>
      <w:pPr>
        <w:spacing w:before="0" w:after="0"/>
        <w:ind w:left="120"/>
        <w:jc w:val="both"/>
      </w:pPr>
      <w:r>
        <w:rPr>
          <w:rFonts w:ascii="Times New Roman" w:hAnsi="Times New Roman"/>
          <w:b w:val="false"/>
          <w:i w:val="false"/>
          <w:color w:val="000000"/>
          <w:sz w:val="22"/>
        </w:rPr>
        <w:t xml:space="preserve">“The Iowa Department of Inspections, Appeals, and Licensing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46">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(10A) and 470.5(10A).”</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multifamily housing,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residential dwellings for testing when conducting a lead-free inspection in multifamily housing. 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If the certified lead inspector/risk assessor or elevated blood lead (EBL) inspector/risk assessor does not randomly select the residential dwellings for testing or if there are not enough residential dwellings to randomly select them for sampling, all residential dwellings will be tested. If random selection is used, the certified lead inspector/risk assessor or elevated blood lead (EBL) inspector/risk assessor conducting the lead-free inspection will randomly select the residential dwellings to be tested. The property owner, manager, or another interested party will not specify which residential dwellings are to be tested. The certified lead inspector/risk assessor or elevated blood lead (EBL) inspector/risk assessor will use Table 1 to determine the number of residential dwellings to randomly select for testing.</w:t>
      </w:r>
    </w:p>
    <w:p>
      <w:pPr>
        <w:spacing w:before="60" w:after="0"/>
        <w:ind w:left="120"/>
        <w:jc w:val="center"/>
      </w:pPr>
      <w:r>
        <w:rPr>
          <w:rFonts w:ascii="Times New Roman" w:hAnsi="Times New Roman"/>
          <w:b w:val="false"/>
          <w:i w:val="false"/>
          <w:color w:val="000000"/>
          <w:sz w:val="22"/>
        </w:rPr>
        <w:t>Table 1</w:t>
      </w:r>
    </w:p>
    <w:p>
      <w:pPr>
        <w:spacing w:before="60" w:after="0"/>
        <w:ind w:left="120"/>
        <w:jc w:val="center"/>
      </w:pPr>
      <w:r>
        <w:rPr>
          <w:rFonts w:ascii="Times New Roman" w:hAnsi="Times New Roman"/>
          <w:b w:val="false"/>
          <w:i w:val="false"/>
          <w:color w:val="000000"/>
          <w:sz w:val="22"/>
        </w:rPr>
        <w:t xml:space="preserve">Minimum Number of Residential Dwellings to be Randomly Selected in Multifamily Housing </w:t>
      </w:r>
    </w:p>
    <w:p>
      <w:pPr>
        <w:spacing w:before="60" w:after="0"/>
        <w:ind w:left="120"/>
        <w:jc w:val="center"/>
      </w:pPr>
      <w:r>
        <w:rPr>
          <w:rFonts w:ascii="Times New Roman" w:hAnsi="Times New Roman"/>
          <w:b w:val="false"/>
          <w:i w:val="false"/>
          <w:color w:val="000000"/>
          <w:sz w:val="22"/>
        </w:rPr>
        <w:t>for Lead-Free Inspection, Risk Assessment, Lead Hazard Screen, or Clearance Testing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58"/>
        <w:gridCol w:w="2574"/>
        <w:gridCol w:w="2574"/>
        <w:gridCol w:w="1946"/>
      </w:tblGrid>
      <w:tr>
        <w:trPr>
          <w:trHeight w:val="360" w:hRule="atLeast"/>
        </w:trPr>
        <w:tc>
          <w:tcPr>
            <w:tcW w:w="185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Similar Residential Dwellings, Similar Common Areas, or Similar Exteriors in Multifamily Housing</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line="264"/>
              <w:ind w:left="160"/>
              <w:jc w:val="center"/>
            </w:pPr>
            <w:r>
              <w:rPr>
                <w:rFonts w:ascii="Times New Roman" w:hAnsi="Times New Roman"/>
                <w:b w:val="false"/>
                <w:i w:val="false"/>
                <w:color w:val="000000"/>
                <w:sz w:val="14"/>
              </w:rPr>
              <w:t>Lead-Free Inspection, Risk Assessment,</w:t>
            </w:r>
          </w:p>
          <w:p>
            <w:pPr>
              <w:spacing w:before="0" w:after="0" w:line="264"/>
              <w:ind w:left="160"/>
              <w:jc w:val="center"/>
            </w:pPr>
            <w:r>
              <w:rPr>
                <w:rFonts w:ascii="Times New Roman" w:hAnsi="Times New Roman"/>
                <w:b w:val="false"/>
                <w:i w:val="false"/>
                <w:color w:val="000000"/>
                <w:sz w:val="14"/>
              </w:rPr>
              <w:t>or Lead Hazard Screen</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Clearance Testing</w:t>
            </w:r>
          </w:p>
        </w:tc>
      </w:tr>
      <w:tr>
        <w:trPr>
          <w:trHeight w:val="825" w:hRule="atLeast"/>
        </w:trPr>
        <w:tc>
          <w:tcPr>
            <w:tcW w:w="0" w:type="auto"/>
            <w:vMerge/>
            <w:tcBorders>
              <w:top w:val="nil"/>
              <w:bottom w:val="single" w:color="000000" w:sz="8"/>
              <w:right w:val="single" w:color="000000" w:sz="8"/>
            </w:tcBorders>
          </w:tcP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Pre-1960 Residential Dwellings or Residential Dwellings of Unknown Date of Construction to Randomly Select for Testing</w:t>
            </w:r>
          </w:p>
        </w:tc>
        <w:tc>
          <w:tcPr>
            <w:tcW w:w="257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Number of 1960-1977 </w:t>
            </w:r>
            <w:r>
              <w:br/>
            </w:r>
            <w:r>
              <w:rPr>
                <w:rFonts w:ascii="Times New Roman" w:hAnsi="Times New Roman"/>
                <w:b w:val="false"/>
                <w:i w:val="false"/>
                <w:color w:val="000000"/>
                <w:sz w:val="14"/>
              </w:rPr>
              <w:t>Residential Dwellings to Randomly Select for Testing</w:t>
            </w:r>
          </w:p>
        </w:tc>
        <w:tc>
          <w:tcPr>
            <w:tcW w:w="194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Residential Dwellings to Randomly Select for Clearance Testing</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11</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16-17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All</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21-26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33-34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40-48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49-50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52-53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55-56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57-58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22</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60-69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23</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70-73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74-75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76-77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78-79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80-88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24</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89-95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96-97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98-99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100-109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110-117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118-119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120-138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139-157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158-159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26</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160-177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178-197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198-218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219-258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52</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259-279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280-299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53</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300-379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54</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380-499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500-776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56</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56</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777-939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28</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940-1004</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57</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1005-1022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1023-1032</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29</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r>
      <w:tr>
        <w:trPr>
          <w:trHeight w:val="195" w:hRule="atLeast"/>
        </w:trPr>
        <w:tc>
          <w:tcPr>
            <w:tcW w:w="185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1033-1039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c>
          <w:tcPr>
            <w:tcW w:w="257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194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59</w:t>
            </w:r>
          </w:p>
        </w:tc>
      </w:tr>
      <w:tr>
        <w:trPr>
          <w:trHeight w:val="510" w:hRule="atLeast"/>
        </w:trPr>
        <w:tc>
          <w:tcPr>
            <w:tcW w:w="185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1040+</w:t>
            </w:r>
          </w:p>
        </w:tc>
        <w:tc>
          <w:tcPr>
            <w:tcW w:w="257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rounded to the next highest whole number</w:t>
            </w:r>
          </w:p>
        </w:tc>
        <w:tc>
          <w:tcPr>
            <w:tcW w:w="257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2.9%, rounded to the next highest whole number</w:t>
            </w:r>
          </w:p>
        </w:tc>
        <w:tc>
          <w:tcPr>
            <w:tcW w:w="194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5.8%, rounded to the next highest whole number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each type of common area in the multifamily housing, including but not limited to hallways, exterior sides of a building, and laundry rooms, for testing. Each type of common area will be counted separately. If built before 1960, the multifamily housing will contain at least 20 of a type of common area in order to use random selection. If built from 1960 to 1977, the multifamily housing will contain at least ten of a type of common area in order to use random selection. If the certified lead inspector/risk assessor or elevated blood lead (EBL) inspector/risk assessor does not randomly select the common areas for testing or if there are not enough common areas to randomly select them for testing, all common areas will be tested. The certified lead inspector/risk assessor or elevated blood lead (EBL) inspector/risk assessor will use Table 1 to determine the number of each type of common area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of each residential dwelling selected for testing and in each common area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will test each testing combination in each room of a residential dwelling chosen for testing and in each common area chosen for testing. On windows, the window frame, interior windowsill, window sash, and window trough will each be considered a separate testing combination. Each wall in a room or a common area will be tested. The certified lead inspector/risk assessor or elevated blood lead (EBL) inspector/risk assessor will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evidence of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under penalty of perjury per Iowa Code section </w:t>
      </w:r>
      <w:hyperlink r:id="rId47">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will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note any components where lead-based paint has been enclosed or encapsulated. The certified lead inspector/risk assessor or elevated blood lead (EBL) inspector/risk assessor will not make a determination that a component or the multifamily housing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not use an X-ray fluorescence analyzer using a software version or a mode of operation that could result in inconclusive readings or that recommends substrate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as positive or negative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count the number of XRF readings taken for each component type. If fewer than 40 of any component type were tested, the certified lead inspector/risk assessor or elevated blood lead (EBL) inspector/risk assessor will randomly choose additional testing combinations for the component type to reach a total of 40 XRF readings. If fewer than 40 testing combinations are available for testing, the certified lead inspector/risk assessor or elevated blood lead (EBL) inspector/risk assessor will test each testing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each component type where at least 40 testing combinations have been tested, the certified lead inspector/risk assessor or elevated blood lead (EBL) inspector/risk assessor will determine the number and percentage of each component type that is classified as positive or negative. The certified lead inspector/risk assessor or elevated blood lead (EBL) inspector/risk assessor will classify each component type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Lead-based paint is not present on a component type if all readings are classified as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at least 15 percent of the readings are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greater than or equal to 5 percent but less than 15 percent of the XRF readings are classified as positive, unless the certified lead inspector/risk assessor or elevated blood lead (EBL) inspector/risk assessor collects paint samples and obtains laboratory analyses for all positive XRF readings. If the laboratory analyses show that lead-based paint is not present on any components, then the component type is negative. If the laboratory analyses show that lead-based paint is present on any component, then the component type is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Lead-based paint is present on a component type if greater than 0 but less than 5 percent of the XRF readings are classified as positive, unless the certified lead inspector/risk assessor or elevated blood lead (EBL) inspector/risk assessor collects paint samples and obtains laboratory analyses for all positive XRF readings or randomly selects a second set of residential dwellings for testing. If the laboratory analyses show that lead-based paint is not present on any components, then the component type is negative. If the laboratory analyses show that lead-based paint is present on any component, then the component type is positive. If a second set of randomly selected residential dwellings is sampled and greater than 0 but less than 2.5 percent of the combined set of results is positive, the component type may be considered as not having lead-based paint development-wide but rather, having lead-based paint in isolated locations, with a reasonable degree of confidence. Individual components that are classified as positive should be considered lead-based painted and managed or abated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particular component type in the sampled residential dwellings is classified as positive, that same component type in the unsampled residential dwellings is also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fewer than 40 of a component type are available for testing, each testing combination will be classified individually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component type or individual component is classified as positive, then the certified lead inspector/risk assessor or elevated blood lead (EBL) inspector/risk assessor will not state that the multifamily housing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 specified by the performance characteristics sheet, the certified lead inspector/risk assessor or elevated blood lead (EBL) inspector/risk assessor will conduct retesting of ten surfaces selected from two residential dwellings, calculate the retest tolerance limit, and determine whether the inspection meets the retest tolerance limit. If the retest tolerance limit is not met, then this procedure will be repeated with ten additional surfaces selected from the two residential dwellings. If the retest tolerance limit is not met with the 20 retested surfaces, then all results of the inspection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on any component or component type,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inspected.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inspection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 for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list of the apartments and common areas in each building in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of the Iowa-certified inspector/risk assessor or elevated blood lead (EBL) inspector/risk assessor who randomly selected the residential dwellings and common areas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number of residential dwellings and common areas that were selected for testing, how these numbers were determined, and a list of the residential dwellings and common areas that were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by residential dwelling or common area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Component aggregations and the determination of whether lead-based paint is present by component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results of retesting of ten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If the certified lead inspector/risk assessor or certified elevated blood lead (EBL) inspector/risk assessor determines that the multifamily housing is free of lead-based paint, the report will contain the following statement:</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in paint was found on any building components, using the inspection protocol in Chapter </w:t>
      </w:r>
      <w:hyperlink r:id="rId48">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of the Guidelines for the Evaluation and Control of Lead-Based Paint Hazards in Housing ((2012), U.S. Department of Housing and Urban Development). Therefore, this multifamily housing qualifies for the exemption in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xml:space="preserve"> for target housing being leased that is free of lead-based paint, as defined in the rule. However, some painted surfaces may contain levels of lead below 1.0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which could create lead dust or lead-contaminated soil hazards if the paint is turned into dust by abrasion, scraping, or sanding. This report should be kept by the owner and all future owners for the life of the multifamily housing. Per the disclosure requirements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Part 745</w:t>
      </w:r>
      <w:r>
        <w:rPr>
          <w:rFonts w:ascii="Times New Roman" w:hAnsi="Times New Roman"/>
          <w:b w:val="false"/>
          <w:i w:val="false"/>
          <w:color w:val="000000"/>
          <w:sz w:val="22"/>
        </w:rPr>
        <w:t>,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w:t>
      </w:r>
      <w:r>
        <w:rPr>
          <w:rFonts w:ascii="Times New Roman" w:hAnsi="Times New Roman"/>
          <w:b w:val="false"/>
          <w:i w:val="false"/>
          <w:color w:val="000000"/>
          <w:sz w:val="22"/>
        </w:rPr>
        <w:t>24 CFR Part 35</w:t>
      </w:r>
      <w:r>
        <w:rPr>
          <w:rFonts w:ascii="Times New Roman" w:hAnsi="Times New Roman"/>
          <w:b w:val="false"/>
          <w:i w:val="false"/>
          <w:color w:val="000000"/>
          <w:sz w:val="22"/>
        </w:rPr>
        <w:t xml:space="preserve"> and Subpart I of </w:t>
      </w:r>
      <w:r>
        <w:rPr>
          <w:rFonts w:ascii="Times New Roman" w:hAnsi="Times New Roman"/>
          <w:b w:val="false"/>
          <w:i w:val="false"/>
          <w:color w:val="000000"/>
          <w:sz w:val="22"/>
        </w:rPr>
        <w:t>40 CFR Part 745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0">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51">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lead inspections according to the following standards. Lead inspections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inspection in a residential dwelling or child-occupied facility,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each testing combination in each room. On windows, the window frame, interior windowsill, window sash, and window trough will each be considered a separate testing combination. One sample will be taken for each testing combination in a room, including the walls. If a testing combination is painted and not tested, it will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inspection,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inspected.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inspection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as set forth in numbered paragraph </w:t>
      </w:r>
      <w:hyperlink r:id="rId54">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470.6(3)</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will conduct elevated blood lead (EBL) inspections according to the following standards. Elevated blood lead (EBL) inspections will be conducted only by a certified elevated blood lead (EBL) inspector/risk assessor. This protocol may be used for children who do not meet the definition of an EBL child as defined in this chapter as long as the inspection is authorized by the department, a local board of health, or a public housing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an elevated blood lead (EBL) inspection, the certified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test each testing combination in each room. One sample will be taken for each testing combination in a room, including walls. On windows, the window frame, interior windowsill, window sash, and window trough will each be considered a separate testing combination. If a testing combination is painted and not tested, it will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elevated blood lead (EBL) inspector/risk assessor will collect paint samples using the documented methodologies specified in guidance documents issued by the department. If testing by X-ray fluorescence, the certified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use the NIST 1.02 standard film or standards provided by the manufacturer for calibration of the X-ray fluorescence analyzer. The certified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elevated blood lead (EBL) inspector/risk assessor will conduct substrate correction for all XRF readings less than 4.0 milligrams of lead per square centimeter. For each substrate that requires substrate correction, the certified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elevated blood lead (EBL) inspector/risk assessor will remove paint from an area that is at least as large as the XRF probe faceplate. On each of the two areas, the certified elevated blood lead (EBL) inspector/risk assessor will place the NIST 1.02 standard film over the surface, and take three XRF readings with the XRF used to conduct the inspection. The certified elevated blood lead (EBL) inspector/risk assessor will calculate the arithmetic mean for these six readings and will subtract 1.02 from this arithmetic mean to obtain the substrate correction value. The certified elevated blood lead (EBL) inspector/risk assessor will then subtract the substrate correction value from each XRF reading for the substrate requiring substrate correction to obtain the corrected XRF reading. If the certified elevated blood lead (EBL) inspector/risk assessor does not conduct substrate correction where recommended by the performance characteristics sheet, then the certified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will resolve inconclusive readings as defined by the performance characteristics sheet for the XRF by collecting paint samples for laboratory analysis. If the certified elevated blood lead (EBL) inspector/risk assessor does not resolve inconclusive readings, then the certified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elevated blood lead (EBL) inspection, the certified elevated blood lead (EBL) inspector/risk assessor will conduct a visual inspection to determine the presence of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later than two weeks after the receipt of laboratory results, a certified elevated blood lead (EBL) inspector/risk assessor will prepare a written report for each residential dwelling or child-occupied facility where an elevated blood lead (EBL) inspection has been conducted and will provide a copy of this report to the property owner and the occupant of the dwelling.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elevated blood lead (EBL)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5">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5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57">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will maintain for no fewer than ten years a written record for each residential dwelling or child-occupied facility where an elevated blood lead (EBL) inspection has been conducted. The record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report required by paragraph </w:t>
      </w:r>
      <w:hyperlink r:id="rId58">
        <w:r>
          <w:rPr>
            <w:rStyle w:val="Hyperlink"/>
            <w:rFonts w:ascii="Times New Roman" w:hAnsi="Times New Roman"/>
            <w:b w:val="false"/>
            <w:i w:val="false"/>
            <w:color w:val="000000"/>
            <w:sz w:val="22"/>
          </w:rPr>
          <w:t>470.6(3)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lead test results for the elevated blood lead (EBL)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conversations held with the owners and occupants of each residential dwelling or child-occupied facility prior to, during, and after the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follow-up visits made to each residential dwelling or child-occupied facility where lead-based paint hazards are identified and, when issued, a copy of the clearance report.</w:t>
      </w:r>
    </w:p>
    <w:p>
      <w:pPr>
        <w:spacing w:before="0" w:after="0"/>
        <w:ind w:left="120"/>
        <w:jc w:val="both"/>
      </w:pPr>
      <w:r>
        <w:rPr>
          <w:rFonts w:ascii="Times New Roman" w:hAnsi="Times New Roman"/>
          <w:b/>
          <w:i w:val="false"/>
          <w:color w:val="000000"/>
          <w:sz w:val="22"/>
        </w:rPr>
        <w:t>470.6(4)</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lead hazard screens according to the following standards. Lead hazard screens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residential dwelling or child-occupied facility will be conducted to determine if any deteriorated paint is present and to locate at least two dust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that is determined to have a distinct painting history will be tested for the presence of lead. In addition, friction surfaces where there is evidence of abrasion and impact surfaces that are damaged or otherwise deteriorated from impact and that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a minimum of two composite or single-surface dust samples will be collected. One sample will be collected from the floors and the other from the interior windowsills in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and child-occupied facilities, single-surface or composite dust samples will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for lead content in exterior play areas and dripline areas where bare soil is present. In addition, soil samples will be collected and analyzed for lead content from any other areas of the yard where bare soil is present. Soil and paint samples will be collected using the documented methodologies specified in guidance documents issued by the department and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National Institute of Standards and Technology 1.02 milligrams of lead per square centimeter standard reference material or standards provided by the manufacturer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whether a residential dwelling or child-occupied facility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will fail a lead hazard screen if any deteriorated paint or paint on friction or impact surfaces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will fail a lead hazard screen if any floor dust lead level in a single- surface or composite-surface dust sample is greater than or equal to 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will fail a lead hazard screen if any interior windowsill dust level in a single-surface or composite-surface dust sample is greater than or equal to 125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will fail a lead hazard screen if any bare soil is found to be a soil-lead hazard.</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hazard screen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 Residential dwellings chosen by targeted selection will meet as many of the following criteria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w:t>
      </w:r>
    </w:p>
    <w:p>
      <w:pPr>
        <w:spacing w:before="60" w:after="0"/>
        <w:ind w:left="120"/>
        <w:jc w:val="center"/>
      </w:pPr>
      <w:r>
        <w:rPr>
          <w:rFonts w:ascii="Times New Roman" w:hAnsi="Times New Roman"/>
          <w:b w:val="false"/>
          <w:i w:val="false"/>
          <w:color w:val="000000"/>
          <w:sz w:val="22"/>
        </w:rPr>
        <w:t>Table 2</w:t>
      </w:r>
    </w:p>
    <w:p>
      <w:pPr>
        <w:spacing w:before="60" w:after="0"/>
        <w:ind w:left="120"/>
        <w:jc w:val="center"/>
      </w:pPr>
      <w:r>
        <w:rPr>
          <w:rFonts w:ascii="Times New Roman" w:hAnsi="Times New Roman"/>
          <w:b w:val="false"/>
          <w:i w:val="false"/>
          <w:color w:val="000000"/>
          <w:sz w:val="22"/>
        </w:rPr>
        <w:t>Minimum Number of Residential Dwellings in Multifamily Housing for Risk Assessment</w:t>
      </w:r>
    </w:p>
    <w:p>
      <w:pPr>
        <w:spacing w:before="60" w:after="0"/>
        <w:ind w:left="120"/>
        <w:jc w:val="center"/>
      </w:pPr>
      <w:r>
        <w:rPr>
          <w:rFonts w:ascii="Times New Roman" w:hAnsi="Times New Roman"/>
          <w:b w:val="false"/>
          <w:i w:val="false"/>
          <w:color w:val="000000"/>
          <w:sz w:val="22"/>
        </w:rPr>
        <w:t>or Lead Hazard Screen Through Targeted Selection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86"/>
        <w:gridCol w:w="6266"/>
      </w:tblGrid>
      <w:tr>
        <w:trPr>
          <w:trHeight w:val="360"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Similar Residential Dwellings</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Residential Dwellings to Sample*</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1-4</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All</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5-20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4 residential dwellings or 50% (whichever is greater)**</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21-75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10 residential dwellings or 20% (whichever is greater)**</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76-125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17</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126-175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19</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176-225</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20</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226-300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21</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301-400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22</w:t>
            </w:r>
          </w:p>
        </w:tc>
      </w:tr>
      <w:tr>
        <w:trPr>
          <w:trHeight w:val="195" w:hRule="atLeast"/>
        </w:trPr>
        <w:tc>
          <w:tcPr>
            <w:tcW w:w="268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401-500</w:t>
            </w:r>
          </w:p>
        </w:tc>
        <w:tc>
          <w:tcPr>
            <w:tcW w:w="6266"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23</w:t>
            </w:r>
          </w:p>
        </w:tc>
      </w:tr>
      <w:tr>
        <w:trPr>
          <w:trHeight w:val="450" w:hRule="atLeast"/>
        </w:trPr>
        <w:tc>
          <w:tcPr>
            <w:tcW w:w="2686"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501+</w:t>
            </w:r>
          </w:p>
        </w:tc>
        <w:tc>
          <w:tcPr>
            <w:tcW w:w="6266"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24 + 1 residential dwelling for each additional increment of 100 residential dwellings or less</w:t>
            </w:r>
          </w:p>
        </w:tc>
      </w:tr>
    </w:tbl>
    <w:p>
      <w:pPr>
        <w:spacing w:before="0" w:after="0"/>
        <w:ind w:left="120"/>
        <w:jc w:val="both"/>
      </w:pPr>
      <w:r>
        <w:rPr>
          <w:rFonts w:ascii="Times New Roman" w:hAnsi="Times New Roman"/>
          <w:b w:val="false"/>
          <w:i w:val="false"/>
          <w:color w:val="000000"/>
          <w:sz w:val="22"/>
        </w:rPr>
        <w:t>*Does not include residential dwellings housing children with elevated blood lead levels.</w:t>
      </w:r>
    </w:p>
    <w:p>
      <w:pPr>
        <w:spacing w:before="0" w:after="0"/>
        <w:ind w:left="120"/>
        <w:jc w:val="both"/>
      </w:pPr>
      <w:r>
        <w:rPr>
          <w:rFonts w:ascii="Times New Roman" w:hAnsi="Times New Roman"/>
          <w:b w:val="false"/>
          <w:i w:val="false"/>
          <w:color w:val="000000"/>
          <w:sz w:val="22"/>
        </w:rPr>
        <w:t>**For percentages, round up to determine number of residential dwellings to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whether multifamily housing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 lead levels for carpeted floors, uncarpeted floors, and interior windowsills. If the arithmetic mean for carpeted floors or uncarpeted floors is greater than or equal to 25 micrograms per square foot, the multifamily housing will fail the lead hazard screen. If the arithmetic mean for interior windowsills is greater than or equal to 125 micrograms per square foot, the multifamily housing will fail the lead hazard screen. If the arithmetic mean for carpeted floors or uncarpeted floors is less than 25 micrograms per square foot, but some of the samples have dust lead levels that are greater than or equal to 25 micrograms per square foot, then the residential dwellings where these samples were taken and all other similar residential dwellings in the multifamily housing will fail the lead hazard screen. If the arithmetic mean for interior windowsills is less than 125 micrograms per square foot, but some of the samples have dust lead levels that are greater than or equal to 125 micrograms per square foot, then the residential dwellings where these samples were taken and all other similar residential dwellings in the multifamily housing will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 If a component in a residential dwelling is determined or assumed to be lead-based paint, then the entire group of similar residential dwellings in the multifamily housing will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Multifamily housing will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lead hazard screen is conducted. No later than three weeks after the receipt of laboratory results, the certified lead inspector/risk assessor or certified elevated blood lead (EBL) inspector/risk assessor will send a copy of the report to the property owner and to the person requesting the lead hazard screen,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 The results of dust sampling will be reported in micrograms of lead per square foot, and the results of soil sampling will be reported in parts per million of lead.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Whether the residential dwelling or child-occupied facility passed or failed the lead hazard screen and recommendations, if warranted, for a follow-up lead inspection or risk assessment, and, as appropriate, any further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9">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60">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61">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470.6(5)</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risk assessments according to the following standards. Risk assessments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will be undertaken to locate the existence of deteriorated paint and other potential lead hazards and to assess the extent and causes of the paint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that is determined to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Friction surfaces where there is evidence of abrasion and impact surfaces that are damaged or otherwise deteriorated from impact and that have a distinct painting history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dust samples will be collected from the interior windowsill, window trough, and floor in all living areas where at least one child is most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dust samples will also be collected from interior windowsills, window troughs, and floors in common areas adjacent to the sampled residential dwellings or child-occupied facility and in other common areas where the certified lead inspector/risk assessor or certified elevated blood lead (EBL) inspector/risk assessor determines that at least one child under the age of six years is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dust samples will be collected from the interior windowsill, window trough, and floor in each room, hallway, or stairwell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 Dust samples will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for lead content in exterior play areas and dripline areas where bare soil is present. In addition, soil samples will be collected and analyzed for lead content from any other areas of the yard where bare soil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The minimum area for a windowsill wipe sample and for a window trough wipe sample will be 0.25 square feet. Soil and paint samples will be collected using the documented methodologies specified in guidance documents issued by the department. Dust and soil samples will be analyzed by a recognized laboratory to determine the level of lead. The results of dust sampling will be reported in micrograms of lead per square foot, and the results of soil sampling will be reported in parts per million of lead. The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material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Subparagraphs </w:t>
      </w:r>
      <w:hyperlink r:id="rId62">
        <w:r>
          <w:rPr>
            <w:rStyle w:val="Hyperlink"/>
            <w:rFonts w:ascii="Times New Roman" w:hAnsi="Times New Roman"/>
            <w:b w:val="false"/>
            <w:i w:val="false"/>
            <w:color w:val="000000"/>
            <w:sz w:val="22"/>
          </w:rPr>
          <w:t>470.6(4)</w:t>
        </w:r>
      </w:hyperlink>
      <w:r>
        <w:rPr>
          <w:rFonts w:ascii="Times New Roman" w:hAnsi="Times New Roman"/>
          <w:b w:val="false"/>
          <w:i/>
          <w:color w:val="000000"/>
          <w:sz w:val="22"/>
        </w:rPr>
        <w:t>“h”</w:t>
      </w:r>
      <w:r>
        <w:rPr>
          <w:rFonts w:ascii="Times New Roman" w:hAnsi="Times New Roman"/>
          <w:b w:val="false"/>
          <w:i w:val="false"/>
          <w:color w:val="000000"/>
          <w:sz w:val="22"/>
        </w:rPr>
        <w:t xml:space="preserve">(3) through </w:t>
      </w:r>
      <w:hyperlink r:id="rId63">
        <w:r>
          <w:rPr>
            <w:rStyle w:val="Hyperlink"/>
            <w:rFonts w:ascii="Times New Roman" w:hAnsi="Times New Roman"/>
            <w:b w:val="false"/>
            <w:i w:val="false"/>
            <w:color w:val="000000"/>
            <w:sz w:val="22"/>
          </w:rPr>
          <w:t>470.6(4)</w:t>
        </w:r>
      </w:hyperlink>
      <w:r>
        <w:rPr>
          <w:rFonts w:ascii="Times New Roman" w:hAnsi="Times New Roman"/>
          <w:b w:val="false"/>
          <w:i/>
          <w:color w:val="000000"/>
          <w:sz w:val="22"/>
        </w:rPr>
        <w:t>“h”</w:t>
      </w:r>
      <w:r>
        <w:rPr>
          <w:rFonts w:ascii="Times New Roman" w:hAnsi="Times New Roman"/>
          <w:b w:val="false"/>
          <w:i w:val="false"/>
          <w:color w:val="000000"/>
          <w:sz w:val="22"/>
        </w:rPr>
        <w:t xml:space="preserve">(6) are restated as if fully set forth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conducting a risk assessment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 Residential dwellings chosen by targeted selection will meet as many of the following criteria as possible.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 Targeted selection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 lead levels for carpeted floors, uncarpeted floors, interior windowsills, and window troughs. If the arithmetic mean is greater than or equal to the level defined as a dust lead hazard for the component, then the certified lead inspector/risk assessor or elevated blood lead (EBL) inspector/risk assessor will determine that a dust lead hazard has been identified on the component throughout the multifamily housing. If the arithmetic mean is less than the level defined as a dust lead hazard for the component, but some of the individual components have dust lead levels that are greater than or equal to the level defined as a dust lead hazard, then the certified lead inspector/risk assessor or elevated blood lead (EBL) inspector/risk assessor will determine that a dust 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a risk assessment is conducted. No later than three weeks after the receipt of laboratory results, the certified lead inspector/risk assessor or certified elevated blood lead (EBL) inspector/risk assessor will send a copy of the report to the property owner and to the person requesting the risk assessment, if different. A certified lead inspector/risk assessor or a certified elevated blood lead (EBL) inspector/risk assessor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To the extent that they are used as part of the lead-based paint hazard determination, the results of any previous inspections or analyses for the presence of lead-based paint, or other assessments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6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6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66">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470.6(6)</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certified lead abatement worker will conduct lead abatement according to the following standards. Lead abatement will be conducted only by a certified lead abatement contractor or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be on site during all work site preparation and during the postabatement cleanup of work areas. At all other times when lead abatement is being conducted, the certified lead abatement contractor will be on site or available by telephone or answering service, and be able to be present at the work 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ensure that lead abatement is conducted according to all federal,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notify the department in writing at least seven days prior to the commencement of lead abatement in a residential dwelling or child-occupied facility. The notification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including apartment numbers, where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when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contact for the certified firm that will conduct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certified lead abatement contractor who will serve as the contact person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dwelling is owner-occupied or a rental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dwelling is an occupied rental, the names of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approximate year that the dwelling was 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lead abatement work to be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will submit a revised notification to the department if any information in the original notification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abatement contractor will ensure that the worksite(s) is accessed only by certified lead professionals according to rules </w:t>
      </w:r>
      <w:hyperlink r:id="rId67">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and </w:t>
      </w:r>
      <w:hyperlink r:id="rId6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Noncertified individuals will not be allowed access to a worksite. A worksite will remain inaccessible to noncertified individuals until it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a certified project designer will develop a written occupant protection plan for all lead abatement projects prior to starting lead abatement and will implement the occupant protection plan during the lead abatement project. The occupant protection plan will be unique to each residential dwelling or child-occupied facility. If the occupants will be living at the property where lead abatement is taking place, then the written occupant plan will be given to the occupants prior to the start date of the lead abatement project and will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location of the physical barriers that will keep occupants out of the designated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worksite(s) is not entered by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occupants have access to a kitchen, bathroom, and living area that are not in the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Approved methods will be used to conduct lead abatement, and prohibited work practices will not be used to conduct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will be posted and readable. All signs will be posted before lead abatement begins and will remain in place until dust-lead clearance has been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all signage will be posted in the occupants’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will clearly define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signs will warn occupants and other persons not involved with the lead abatement to remain outside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signs will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 area will be effectively contained before the lead abatement begins. To be effective, containment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Isolate the work area so that no dust or debris leaves the work area while the lead abatement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will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and covering all duct openings in the work area. Ducts will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Closing windows and doors in the work area. Doors will be covered with plastic sheeting or other impermeable material. Doors used as an entrance to the work area will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lead abatement or a sufficient distance to contain the dust,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exterior lead abatement,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Closing all doors and windows within 20 feet of the lead abatement. On multistory buildings, all doors and windows within 20 feet of the lead abatement on the same story as the lead abatement will be closed, and all doors and windows on all stories below the lead abatement that are the same horizontal distance from the lead abatement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doors within the work areas that will be used while the lead abatement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Covering the ground with plastic sheeting or other disposable impermeable material extending ten feet beyond the perimeter of surfaces undergoing lead abatement or a sufficient distance to collect falling paint debris, whichever is greater, unless the property line prevents ten feet of such ground cover. Exterior ground cover will include anchors or weights to ensure that the covering remains effective even during weather conditions such as high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or certified lead abatement worker will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are 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lead abatement will be contained to prevent the release of dust and debris before the waste is removed from the work area for storage or disposal. Any chutes used to remove waste from the work area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workday and at the conclusion of the lead abatement, waste that has been collected from lead abatement activities will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waste from lead abatement will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work area will be cleaned so that no dust, debris, or residue remains after lead abatement. Cleaning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removal of the protective sheeting used as required in this subrule. The sheeting will be misted, then the sheeting will be folded dirty side inward. All sheeting will be taped shut or otherwise sealed inside heavy-duty bags. Sheeting used to separate work areas from non-work areas will remain in place until after the cleaning and removal of other sheeting. All sheeting will be disposed of 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all objects and surfaces in the work area and within two feet of the work area will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will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will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will also be wiped with a damp cloth. Uncarpeted floors will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abatement will be conducted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soil is removed, soil that is a soil-lead hazard will be replaced by soil with a lead concentration as close to the local background as practicable, but less than 400 parts per million. The soil that is removed will not be used as topsoil at another residential property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is not removed, the soil that is a soil-lead hazard will be remediated to meet the definition of “permanently covered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lead-based paint is removed from a surface, the surface will be repainted or refinished prior to postabatement clearance dust sampling. A certified lead inspector/risk assessor or a certified elevated blood lead (EBL) inspector/risk assessor will visually verify that lead-based paint was removed from a surface prior to repainting or refinishing.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components painted with lead-based paint are removed, the replacement components will be installed prior to postabatement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Postabatement clearance procedures will be conducted by a certified lead inspector/risk assessor or a certified elevated blood lead (EBL) inspector/risk assessor. If the abatement is conducted in response to an elevated blood lead (EBL) inspection, clearance will be conducted by a certified elevated blood lead (EBL) inspector/risk assessor. Postabatement clearance testing will be performed by persons or entities independent of those performing lead abatement, unless the designated party uses qualified in-house employees to conduct postabatement clearance testing. An in-house employee will not conduct both lead abatement and the postabatement clearance testing for this work. Postabatement clearance testing will be conducted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lead abatement, the certified lead inspector/risk assessor or certified elevated blood lead (EBL) inspector/risk assessor will review the report of the lead inspection, risk assessment, or visual assessment done prior to the lead abatement project and the lead abatement specifications to determine the lead-based paint hazards that were to be abated by the lead abatement project. The certified lead inspector/risk assessor or certified elevated blood lead (EBL) inspector/risk assessor will perform a visual inspection to determine if all lead-based paint hazards that were to be abated have been abated and to determine if deteriorated paint surfaces or visible amounts of dust, debris, or residue are still present in the rooms where lead abatement was conducted. If lead-based paint hazards that were to be abated by the project or deteriorated paint surfaces or visible amounts of dust, debris, or residue are present in the rooms where lead abatement was conducted, these conditions must be eliminated prior to the continuation of the clearance procedures. However, elimination of deteriorated paint is not required if it has been determined through paint testing or a lead-based paint inspection that the deteriorated paint is not lead-based paint. Following an exterior lead abatement, a visual inspection will be conducted to determine if all lead-based paint hazards that were to be abated have been abated and to determine if any visible dust or debris remains on any horizontal surfaces in the outdoor living areas close to the abated surface. In addition, a visual inspection will be conducted to determine the presence of paint chips on the dripline or next to the foundation below any exterior surface that was abated. If lead-based paint hazards that were to be abated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postabatement cleanup, the certified lead inspector/risk assessor or certified elevated blood lead (EBL) inspector/risk assessor will conduct clearance sampling for lead in dust. Clearance sampling may be conducted by employing single-surface sampling or composite dust sampling.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a minimum of one hour after the completion of final postabatement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postabatement clearance activities will be conducted as appropriate based upon the extent or manner of lead abatement activities conducted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conducting a lead abatement with containment between abated and unabated areas, three dust samples will be taken from each of no fewer than four rooms, hallways, or stairwells within the containment area. Dust samples will be taken from one interior windowsill and from one window trough (if available), and one dust sample will be taken from the floor of each of no fewer than four rooms, hallways, or stairwells within the containment area. In addition, one dust sample will be taken from the floor outside of each individual containment area. If there are fewer than four rooms, hallways, or stairwells within the containment area, then all rooms, hallways, and stairwells will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conducting a lead abatement with no containment between abated and unabated areas, three dust samples will be taken from each of no fewer than four rooms, hallways, or stairwells in the residential dwelling or child-occupied facility. Dust samples will be taken from one interior windowsill and from one window trough (if available), and one dust sample will be taken from the floor of each room, hallway, or stairwell selected. If there are fewer than four rooms, hallways, or stairwells in the residential dwelling or child-occupied facility, then all rooms, hallways, and stairwells will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contractors and certified lead abatement workers who abate or clean the dwellings will not have any knowledge of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will be recleaned. Additional clearance samples will be taken from the failed component in each room where it failed and from enough additional rooms that were not previously tested so that four rooms are sampled. If four rooms are not available, then each available room will be retested. The certified lead inspector/risk assessor or certified elevated blood lead (EBL) inspector/risk assessor will evaluate the results of this testing to determine if the recleaned components meet the clearance level. The components will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will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randomly select the residential dwellings that will be sampled. The certified lead abatement contractors and certified lead abatement workers who abate or clean the dwellings do not know which residential dwellings will be selected for the random selection or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use Table 1 to determine the minimum number of residential dwellings selected for dust sampling. This will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will sample the randomly selected residential dwellings and evaluate them for clearance according to the procedures found in paragraphs </w:t>
      </w:r>
      <w:hyperlink r:id="rId69">
        <w:r>
          <w:rPr>
            <w:rStyle w:val="Hyperlink"/>
            <w:rFonts w:ascii="Times New Roman" w:hAnsi="Times New Roman"/>
            <w:b w:val="false"/>
            <w:i w:val="false"/>
            <w:color w:val="000000"/>
            <w:sz w:val="22"/>
          </w:rPr>
          <w:t>470.6(6)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three weeks after the property passes clearance, the certified lead inspector/risk assessor or certified elevated blood lead (EBL) inspector/risk assessor will send a report to the lead abatement contractor that contains the items required by subparagraphs </w:t>
      </w:r>
      <w:hyperlink r:id="rId70">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 xml:space="preserve">(7) through </w:t>
      </w:r>
      <w:hyperlink r:id="rId71">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or a certified project designer will prepare a lead abatement report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and any revised lead abatement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and completion dates of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certified lead abatement contractor and of the certified firm contact for the firm conducting the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occupant protection plan required by paragraph </w:t>
      </w:r>
      <w:hyperlink r:id="rId72">
        <w:r>
          <w:rPr>
            <w:rStyle w:val="Hyperlink"/>
            <w:rFonts w:ascii="Times New Roman" w:hAnsi="Times New Roman"/>
            <w:b w:val="false"/>
            <w:i w:val="false"/>
            <w:color w:val="000000"/>
            <w:sz w:val="22"/>
          </w:rPr>
          <w:t>470.6(6)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inspector/risk assessor or certified elevated blood lead (EBL) inspector/risk assessor conducting clearance sampling, the date on which the clearance testing was conducted, the results of the visual inspection for the presence of lead hazards that were not abated as specified, deteriorated paint and visible dust, debris, residue, or paint chips in the interior rooms and exterior areas where lead abatement was conducted, and the results of all postabatement clearance testing and all soil analyses, if applicable. The results of dust sampling will be reported in micrograms of lead per square foot by location of sample, and the results of soil sampling will be reported in parts per million of lead. The results will not be reported as “not detectable.” If random selection was used to select the residential dwellings that were sampled, the report will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lead abatement was or was not done as specified and that the rooms and exterior areas where lead abatement was conducted did or did not pass the visual clearance and the clearance dust testing. If the certified lead inspector/risk assessor or certified elevated blood lead (EBL) inspector/risk assessor conducting the clearance testing cannot verify that all lead-based paint hazards have been abated, the report will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the lead abatement project was done according to the project specifications. This residential dwelling may still contain hazardous lead-based paint, soil-lead hazards, or dust-lead hazards in the rooms or exterior areas that were not included in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clearance samples and soil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lead abatement project, including lead abatement methods used, locations of rooms and components where lead abatement occurred, reasons for selecting particular lead abatement methods, and any suggested monitoring of encapsulants or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3">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74">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a copy of the written consent or waiver required by subrule </w:t>
      </w:r>
      <w:hyperlink r:id="rId75">
        <w:r>
          <w:rPr>
            <w:rStyle w:val="Hyperlink"/>
            <w:rFonts w:ascii="Times New Roman" w:hAnsi="Times New Roman"/>
            <w:b w:val="false"/>
            <w:i w:val="false"/>
            <w:color w:val="000000"/>
            <w:sz w:val="22"/>
          </w:rPr>
          <w:t>470.6(12)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lead abatement report will be completed no later than 30 days after the lead abatement project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will maintain all reports and plans required in this subrule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will provide a copy of all reports required by this subrule to the building owner and to the person who contracted for the lead abatement,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conduct visual risk assessments according to the following standards. Provided that all of the following standards are met, a certified lead inspector/risk assessor, a certified elevated blood lead (EBL) inspector/risk assessor, or a certified sampling technician may remotely conduct a visual risk assessment using technology that allows for adequate visual evaluation of the painted surfaces. Visual risk assessments will be conducted only by a certified lead inspector/risk assessor, a certified elevated blood lead (EBL) inspector/risk assessor, or a certified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will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will be undertaken to locate the existence of deteriorated paint and other potential lead-based paint hazards and to assess the extent and causes of the paint deterioration. A certified lead inspector/risk assessor, a certified elevated blood lead (EBL) inspector/risk assessor, or a certified sampling technician will assess each component in each room, including each exterior side. A certified lead inspector/risk assessor, a certified elevated blood lead (EBL) inspector/risk assessor, or a certified sampling technician will identify the following conditions as potential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interior and exterior surfaces with deteriorated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hard surfaces, including but not limited to floors and windowsills, that are not smooth or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Dust-generating conditions, including but not limited to conditions causing rubbing, binding, or crushing of surfaces known or presumed to be coated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Bare soil in the play area and dripline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prepare a written report for each residential dwelling or child-occupied facility where a visual risk assessment is conducted. No later than three weeks after completing the visual risk assessment, the certified lead inspector/risk assessor, certified elevated blood lead (EBL) inspector/risk assessor, or certified sampling technician will send a copy of the report to the property owner and to the person requesting the visual risk assessment, if different. A certified lead inspector/risk assessor, a certified elevated blood lead (EBL) inspector/risk assessor, or a certified sampling technician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sampling technician, certified lead inspector/risk assessor, or certified elevated blood lead (EBL) inspector/risk assessor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Specific locations of painted or finished components identified as likely to contain lead-based paint and likely to be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Specific locations of bare soil in the play area and the dripline of a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a remote visual risk assessment is conducted, a description of the methodologies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Information for the owner and occupants on how to reduce lead hazards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6">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77">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w:t>
      </w:r>
    </w:p>
    <w:p>
      <w:pPr>
        <w:spacing w:before="0" w:after="0"/>
        <w:ind w:left="120"/>
        <w:jc w:val="both"/>
      </w:pPr>
      <w:r>
        <w:rPr>
          <w:rFonts w:ascii="Times New Roman" w:hAnsi="Times New Roman"/>
          <w:b w:val="false"/>
          <w:i w:val="false"/>
          <w:color w:val="000000"/>
          <w:sz w:val="22"/>
        </w:rPr>
        <w:t xml:space="preserve">“The Iowa Department of Inspections, Appeals, and Licensing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78">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(10A) and 470.5(10A).”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470.6(8)</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conduct clearance testing according to the following standards. Clearance testing following lead abatement will be conducted only by a certified lead inspector/risk assessor or a certified elevated blood lead (EBL) inspector/risk assessor. Clearance testing after renovation and clearance testing after interim controls, paint stabilization, standard treatments, ongoing lead-based paint maintenance, and rehabilitation pursuant to 24 CFR Part 35 will be conducted only by certified sampling technicians, certified lead inspector/risk assessors, or certified elevated blood lead (EBL) inspector/risk assessors. If the abatement, renovation, or interim controls, paint stabilization, standard treatments, ongoing lead-based paint maintenance, or rehabilitation pursuant to 24 CFR Part 35 is conducted in response to an elevated blood lead (EBL) inspection, clearance will be conducted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Clearance testing following lead abatement will be conducted according to paragraphs </w:t>
      </w:r>
      <w:hyperlink r:id="rId79">
        <w:r>
          <w:rPr>
            <w:rStyle w:val="Hyperlink"/>
            <w:rFonts w:ascii="Times New Roman" w:hAnsi="Times New Roman"/>
            <w:b w:val="false"/>
            <w:i w:val="false"/>
            <w:color w:val="000000"/>
            <w:sz w:val="22"/>
          </w:rPr>
          <w:t>470.6(6)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testing after renovation and clearance testing after interim controls, paint stabilization, standard treatments, ongoing lead-based paint maintenance, or rehabilitation pursuant to 24 CFR Part 35 will be conducted according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sampling technician will perform clearance testing only for a single-family property or for individual residential dwellings and associated common areas in multifamily housing. A certified sampling technician will not perform clearance testing using random selection of residential dwellings or common areas in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will review the report of the lead inspection, risk assessment, or visual assessment done prior to interim controls, paint stabilization, standard treatments, ongoing lead-based paint maintenance, or rehabilitation conducted pursuant to 24 CFR Part 35 and the project specifications to determine the lead-based paint hazards that were to be controlled by the project. A certified lead inspector/risk assessor, a certified elevated blood lead (EBL) inspector/risk assessor, or a certified sampling technician will perform a visual inspection to determine if all lead-based paint hazards that were to be controlled by the project have been controlled and to determine if deteriorated paint surfaces or visible amounts of dust, debris, or residue are still present in the rooms where interim controls, paint stabilization, standard treatments, ongoing lead-based paint maintenance, or rehabilitation were conducted pursuant to 24 CFR Part 35. If lead-based paint hazards that were to be controlled by the project, deteriorated paint surfaces or visible amounts of dust, debris, or residue are present in these rooms, these conditions must be eliminated prior to the continuation of the clearance testing. However, elimination of deteriorated paint is not required if it has been determined through a lead-based paint inspection that the deteriorated paint is not lead-based paint. If exterior painted surfaces have been disturbed by the interim controls, paint stabilization, standard treatments, ongoing lead-based paint maintenance, or rehabilitation conducted pursuant to 24 CFR Part 35, the visual inspection will include an assessment to determine if all exterior lead-based paint hazards that were to be controlled by the project have been controlled and to determine if any visible dust or debris remains on any horizontal surfaces in the outdoor living areas close to the affected exterior painted surfaces. In addition, a visual inspection will be conducted to determine if paint chips are present on the dripline or next to the foundation below any exterior painted surface that was treated. If lead-based paint hazards that were to be controlled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cleanup, clearance sampling for lead in dust will be conducted. Clearance sampling may be conducted by employing single-surface sampling or composite dust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a minimum of one hour after the completion of final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 activities will be conducted as appropriate based upon the extent or manner of renovation or of interim controls, paint stabilization, standard treatments, ongoing lead-based paint maintenance, or rehabilitation conducted pursuant to 24 CFR Part 35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containment between treated and untreated areas, three dust samples will be taken from each of no fewer than four rooms, hallways, or stairwells within the containment area. Dust samples will be taken from one interior windowsill and from one window trough (if available), and one dust sample will be taken from the floor of each of no fewer than four rooms, hallways, or stairwells within the containment area. In addition, one dust sample will be taken from the floor outside of each individual containment area. If there are fewer than four rooms, hallways, or stairwells within the containment area, then all rooms, hallways, and stairwells will be sampled.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no containment between treated and untreated areas, three dust samples will be taken from each of no fewer than four rooms, hallways, or stairwells in the residential dwelling or child-occupied facility. Dust samples will be taken from one interior windowsill and window trough (if available), and one dust sample will be taken from the floor of each room, hallway, or stairwell selected. If there are fewer than four rooms, hallways, or stairwells in the residential dwelling or child-occupied facility, then all rooms, hallways, and stairwells will be sampled. Interior dust-lead testing will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contractors conducting the work or cleaning the dwellings will not know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will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will be recleaned. Additional clearance samples will be taken from the failed component in each room where it failed and from enough additional rooms that were not previously tested so that four rooms are sampled. If four rooms are not available, then each available room will be retested. The certified lead inspector/risk assessor, certified elevated blood lead (EBL) inspector/risk assessor, or certified sampling technician will evaluate the results of this testing to determine if the recleaned components meet the clearance level. The components will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will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will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randomly select the dwellings that will be sampled. The contractors and the workers who conducted the lead abatement, interim controls, paint stabilization, standard treatments, ongoing lead-based paint maintenance, or rehabilitation do not know which residential dwellings will be selected for the random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will use Table 1 to determine the minimum number of dwellings selected for dust sampling. This will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will sample the randomly selected residential dwellings and evaluate them for clearance according to the procedures found in paragraphs </w:t>
      </w:r>
      <w:hyperlink r:id="rId80">
        <w:r>
          <w:rPr>
            <w:rStyle w:val="Hyperlink"/>
            <w:rFonts w:ascii="Times New Roman" w:hAnsi="Times New Roman"/>
            <w:b w:val="false"/>
            <w:i w:val="false"/>
            <w:color w:val="000000"/>
            <w:sz w:val="22"/>
          </w:rPr>
          <w:t>470.6(6)</w:t>
        </w:r>
      </w:hyperlink>
      <w:r>
        <w:rPr>
          <w:rFonts w:ascii="Times New Roman" w:hAnsi="Times New Roman"/>
          <w:b w:val="false"/>
          <w:i/>
          <w:color w:val="000000"/>
          <w:sz w:val="22"/>
        </w:rPr>
        <w:t>“h”</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clearance testing is conducted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clearance report will be prepared that provides documentation of the lead abatement, renovation, or interim controls, paint stabilization, standard treatments, ongoing lead-based paint maintenance, or rehabilitation conducted pursuant to 24 CFR Part 35 as well as the clearance testing. When lead abatement is performed, the report will be a lead abatement report in accordance with paragraph </w:t>
      </w:r>
      <w:hyperlink r:id="rId81">
        <w:r>
          <w:rPr>
            <w:rStyle w:val="Hyperlink"/>
            <w:rFonts w:ascii="Times New Roman" w:hAnsi="Times New Roman"/>
            <w:b w:val="false"/>
            <w:i w:val="false"/>
            <w:color w:val="000000"/>
            <w:sz w:val="22"/>
          </w:rPr>
          <w:t>470.6(6)</w:t>
        </w:r>
      </w:hyperlink>
      <w:r>
        <w:rPr>
          <w:rFonts w:ascii="Times New Roman" w:hAnsi="Times New Roman"/>
          <w:b w:val="false"/>
          <w:i/>
          <w:color w:val="000000"/>
          <w:sz w:val="22"/>
        </w:rPr>
        <w:t>“n.”</w:t>
      </w:r>
      <w:r>
        <w:rPr>
          <w:rFonts w:ascii="Times New Roman" w:hAnsi="Times New Roman"/>
          <w:b w:val="false"/>
          <w:i w:val="false"/>
          <w:color w:val="000000"/>
          <w:sz w:val="22"/>
        </w:rPr>
        <w:t xml:space="preserve"> When renovation or interim controls, paint stabilization, standard treatments, ongoing lead-based paint maintenance, or rehabilitation pursuant to 24 CFR Part 35 is performed, the certified lead inspector/risk assessor, certified elevated blood lead (EBL) inspector/risk assessor, or certified sampling technician will prepare a written report for each residential dwelling or child-occupied facility where clearance testing is conducted. No later than 30 days after the property passes clearance, the certified lead inspector/risk assessor, certified elevated blood lead (EBL) inspector/risk assessor, or certified sampling technician will send a copy of the report to the property owner and to the person requesting the clearance testing, if different. The clearance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residential property and, if only part of a multifamily property is affected, the specific dwelling units and common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regarding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professional performing the clearance examination, including the 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random selection was used to select the residential dwellings that were sampled, the report will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of the visual inspection for the presence of deteriorated paint and visible dust, debris, residue, or paint chips in the rooms where renovation or interim controls, paint stabilization, standard treatments, ongoing lead-based paint maintenance, or rehabilitation was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of the results of the analysis of dust samples, in micrograms per square foot, by location of sample. The results will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renovation or interim controls, paint stabilization, standard treatments, ongoing lead-based paint maintenance, or rehabilitation conducted pursuant to 24 CFR Part 35 was or was not done as specified and that the rooms and exterior areas where these activities were conducted did or did not pass the visual clearance and the clearance dust testing. If the certified lead inspector/risk assessor, certified elevated blood lead (EBL) inspector/risk assessor, or certified sampling technician conducting the clearance testing cannot verify that all lead-based paint hazards have been controlled, the report will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this lead hazard control project was done according to the project specifications. This residential dwelling may still contain hazardous lead-based paint, soil-lead hazards, or dust-lead hazards in the rooms or exterior areas that were not included in the lead hazard control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the dust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on the renovation or interim controls, paint stabilization, standard treatments, ongoing lead-based paint maintenance, or rehabilitation pursuant to 24 CFR Part 35 for which clearance testing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start and completion dates of the renovation, interim controls, paint stabilization, standard treatments, ongoing lead-based paint maintenance,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firm or organization conducting the renovation, interim controls, paint stabilization, standard treatments, ongoing lead-based paint maintenance, or rehabilitation and the name of each supervisor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renovation, interim controls, paint stabilization, standard treatments, ongoing lead-based paint maintenance, or rehabilitation, including the methods used, locations of exterior surfaces, interior rooms, common areas, and components where the hazard reduction activity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interim control of soil hazards was conducted, a detailed description of the location(s) of the interim controls and the method(s)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8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subparagraph </w:t>
      </w:r>
      <w:hyperlink r:id="rId84">
        <w:r>
          <w:rPr>
            <w:rStyle w:val="Hyperlink"/>
            <w:rFonts w:ascii="Times New Roman" w:hAnsi="Times New Roman"/>
            <w:b w:val="false"/>
            <w:i w:val="false"/>
            <w:color w:val="000000"/>
            <w:sz w:val="22"/>
          </w:rPr>
          <w:t>470.6(7)</w:t>
        </w:r>
      </w:hyperlink>
      <w:r>
        <w:rPr>
          <w:rFonts w:ascii="Times New Roman" w:hAnsi="Times New Roman"/>
          <w:b w:val="false"/>
          <w:i/>
          <w:color w:val="000000"/>
          <w:sz w:val="22"/>
        </w:rPr>
        <w:t>“c”</w:t>
      </w:r>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inspector/risk assessor or a certified elevated blood lead (EBL) inspector/risk assessor or a certified sampling technician will maintain a copy of the clearance testing information included in the lead abatement report specified in paragraph </w:t>
      </w:r>
      <w:hyperlink r:id="rId85">
        <w:r>
          <w:rPr>
            <w:rStyle w:val="Hyperlink"/>
            <w:rFonts w:ascii="Times New Roman" w:hAnsi="Times New Roman"/>
            <w:b w:val="false"/>
            <w:i w:val="false"/>
            <w:color w:val="000000"/>
            <w:sz w:val="22"/>
          </w:rPr>
          <w:t>470.6(6)</w:t>
        </w:r>
      </w:hyperlink>
      <w:r>
        <w:rPr>
          <w:rFonts w:ascii="Times New Roman" w:hAnsi="Times New Roman"/>
          <w:b w:val="false"/>
          <w:i/>
          <w:color w:val="000000"/>
          <w:sz w:val="22"/>
        </w:rPr>
        <w:t>“m”</w:t>
      </w:r>
      <w:r>
        <w:rPr>
          <w:rFonts w:ascii="Times New Roman" w:hAnsi="Times New Roman"/>
          <w:b w:val="false"/>
          <w:i w:val="false"/>
          <w:color w:val="000000"/>
          <w:sz w:val="22"/>
        </w:rPr>
        <w:t xml:space="preserve"> for no fewer than three years. A certified lead inspector/risk assessor, a certified elevated blood lead (EBL) inspector/risk assessor, or a certified sampling technician will maintain a copy of the clearance testing report specified in paragraph </w:t>
      </w:r>
      <w:hyperlink r:id="rId86">
        <w:r>
          <w:rPr>
            <w:rStyle w:val="Hyperlink"/>
            <w:rFonts w:ascii="Times New Roman" w:hAnsi="Times New Roman"/>
            <w:b w:val="false"/>
            <w:i w:val="false"/>
            <w:color w:val="000000"/>
            <w:sz w:val="22"/>
          </w:rPr>
          <w:t>470.6(8)</w:t>
        </w:r>
        <w:r>
          <w:rPr>
            <w:rFonts w:ascii="Times New Roman" w:hAnsi="Times New Roman"/>
            <w:b w:val="false"/>
            <w:i/>
            <w:color w:val="000000"/>
            <w:sz w:val="22"/>
          </w:rPr>
          <w:t>“d”</w:t>
        </w:r>
      </w:hyperlink>
      <w:r>
        <w:rPr>
          <w:rFonts w:ascii="Times New Roman" w:hAnsi="Times New Roman"/>
          <w:b w:val="false"/>
          <w:i w:val="false"/>
          <w:color w:val="000000"/>
          <w:sz w:val="22"/>
        </w:rPr>
        <w:t xml:space="preserve"> for no fewer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testing will be performed by persons or entities independent of those performing lead abatement, renovation, interim controls, paint stabilization, standard treatments, ongoing lead-based paint maintenance, or rehabilitation, unless the designated party uses qualified in-house employees to conduct clearance testing. An in-house employee will not conduct both lead abatement, renovation, interim controls, paint stabilization, standard treatments, ongoing lead-based paint maintenance, or rehabilitation and the clearance examination for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470.6(9)</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paint testing pursuant to 24 CFR Part 35 according to the following standards. Paint testing pursuant to 24 CFR Part 35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paint testing in a residential dwelling or child-occupied facility, the certified lead inspector/risk assessor or elevated blood lead (EBL) inspector/risk assessor will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test paint on each deteriorated paint surface and on each painted surface that will be disturbed or replaced. On windows, the window frame, interior windowsill, window sash, and window trough will each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 will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will collect paint samples using the documented methodologies specified in guidance documents issued by the department. If testing by X-ray fluorescence, the certified lead inspector/risk assessor or elevated blood lead (EBL) inspector/risk assessor will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an X-ray fluorescence analyzer that has a performance characteristics sheet and will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use the NIST 1.02 standard film or standards provided by the manufacturer for calibration of the X-ray fluorescence analyzer. The certified lead inspector/risk assessor or elevated blood lead (EBL) inspector/risk assessor will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will conduct substrate correction for all XRF readings less than 4.0 milligrams of lead per square centimeter. For each substrate that requires substrate correction, the certified lead inspector/risk assessor or elevated blood lead (EBL) inspector/risk assessor will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will remove paint from an area that is at least as large as the XRF probe faceplate. On each of the two areas, the certified lead inspector/risk assessor or elevated blood lead (EBL) inspector/risk assessor will place the NIST 1.02 standard film over the surface, and take three XRF readings with the XRF used to conduct the inspection. The certified lead inspector/risk assessor or elevated blood lead (EBL) inspector/risk assessor will calculate the arithmetic mean for these six readings and will subtract 1.02 from this arithmetic mean to obtain the substrate correction value. The certified lead inspector/risk assessor or elevated blood lead (EBL) inspector/risk assessor will then subtract the substrate correction value from each XRF reading for the substrate requiring substrate correction to obtain the corrected XRF reading.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will assume that all of the readings are positive and will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will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will collect a paint sample for laboratory analysis. The certified lead inspector/risk assessor or elevated blood lead (EBL) inspector/risk assessor will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will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paint testing, the certified lead inspector/risk assessor or elevated blood lead (EBL) inspector/risk assessor will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prepare a written report for each residential dwelling or child-occupied facility where paint testing is conducted. No later than three weeks after the receipt of laboratory results, the certified lead inspector/risk assessor or certified elevated blood lead (EBL) inspector/risk assessor will send a copy of the report to the property owner and to the person requesting the inspection, if different. A certified lead inspector/risk assessor or a certified elevated blood lead (EBL) inspector/risk assessor will maintain a copy of each written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lead-based paint is present on deteriorated paint surfaces and on painted surfaces that will be disturbed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will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will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7">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88">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numbered paragraph </w:t>
      </w:r>
      <w:hyperlink r:id="rId89">
        <w:r>
          <w:rPr>
            <w:rStyle w:val="Hyperlink"/>
            <w:rFonts w:ascii="Times New Roman" w:hAnsi="Times New Roman"/>
            <w:b w:val="false"/>
            <w:i w:val="false"/>
            <w:color w:val="000000"/>
            <w:sz w:val="22"/>
          </w:rPr>
          <w:t>470.6(1)</w:t>
        </w:r>
      </w:hyperlink>
      <w:r>
        <w:rPr>
          <w:rFonts w:ascii="Times New Roman" w:hAnsi="Times New Roman"/>
          <w:b w:val="false"/>
          <w:i/>
          <w:color w:val="000000"/>
          <w:sz w:val="22"/>
        </w:rPr>
        <w:t>“a”</w:t>
      </w:r>
      <w:r>
        <w:rPr>
          <w:rFonts w:ascii="Times New Roman" w:hAnsi="Times New Roman"/>
          <w:b w:val="false"/>
          <w:i w:val="false"/>
          <w:color w:val="000000"/>
          <w:sz w:val="22"/>
        </w:rPr>
        <w:t>(7)“19.”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470.6(10)</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will conduct reevaluations according to the following standards. Reevaluations will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available information regarding lead-based paint for the property being reevaluated will be reviewed, including but not limited to reports of any lead-based paint activities conducted in a residential dwelling, multifamily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property will be undertaken to locate the existence of deteriorated paint; bare soil; recommended lead abatement, interim controls, or standard treatments that were not implemented; and failed interim controls, standard treatments, encapsulation,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Deteriorated paint for which the lead content is unknown will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samples will be collected and analyzed from bare soil for which the lead content is unknown. Soil samples will be collected using the documented methodologies specified in guidance documents issued by the department and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hazards, recommended lead abatement, interim controls, or standard treatments that were not implemented, or failed interim controls, standard treatments, encapsulation, or enclosure is identified, then the reevaluation is failed. These conditions will be controlled through lead abatement or interim controls before the reevaluation can continue. Clearance testing will be conducted following control of the conditions through lead abatement or interim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there are no lead-based paint hazards present and all of the recommended lead abatement or interim controls were implemented and have not failed, then single-surface or composite dust samples will be collected. The reevaluation is passed if all of the dust samples taken are below the clearance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single-surface or composite dust samples will be collected from floors and interior windowsills in at least four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single-surface or composite dust samples will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single-surface or composite dust samples will be collected from the floor and interior windowsill in at least four rooms, hallways, or stairwells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Dust samples will be collected by wipe samples using the documented methodologies specified in guidance documents issued by the department. The minimum area for a floor wipe sample will be 0.50 square feet or 72 square inches. The minimum area for a windowsill wipe sample and for a window trough wipe sample will be 0.25 square feet or 36 square inches. Dust samples will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Paint will be tested using adequate quality control by X-ray fluorescence or by laboratory analysis using a recognized laboratory to determine the presence of lead-based paint on a surface. If tested by laboratory analysis, the paint will be sampled using the documented methodologies specified in guidance documents issued by the department. If testing by X-ray fluorescence, the certified lead inspector/risk assessor or elevated blood lead (EBL) inspector/risk assessor will use the following methodologies: numbered paragraphs </w:t>
      </w:r>
      <w:hyperlink r:id="rId90">
        <w:r>
          <w:rPr>
            <w:rStyle w:val="Hyperlink"/>
            <w:rFonts w:ascii="Times New Roman" w:hAnsi="Times New Roman"/>
            <w:b w:val="false"/>
            <w:i w:val="false"/>
            <w:color w:val="000000"/>
            <w:sz w:val="22"/>
          </w:rPr>
          <w:t>470.6(9)</w:t>
        </w:r>
      </w:hyperlink>
      <w:r>
        <w:rPr>
          <w:rFonts w:ascii="Times New Roman" w:hAnsi="Times New Roman"/>
          <w:b w:val="false"/>
          <w:i/>
          <w:color w:val="000000"/>
          <w:sz w:val="22"/>
        </w:rPr>
        <w:t>“a”</w:t>
      </w:r>
      <w:r>
        <w:rPr>
          <w:rFonts w:ascii="Times New Roman" w:hAnsi="Times New Roman"/>
          <w:b w:val="false"/>
          <w:i w:val="false"/>
          <w:color w:val="000000"/>
          <w:sz w:val="22"/>
        </w:rPr>
        <w:t>(2)“1” through “6” are restated as if fully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When conducting reevaluation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will contain at least 20 similarly constructed and maintained residential dwellings in order to use random selection. If built from 1960 to 1977, the multifamily housing will contain at least ten similarly constructed and maintained residential dwellings in order to use random selection. The certified lead inspector/risk assessor or elevated blood lead (EBL) inspector/risk assessor will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will use Table 2 to determine the number of residential dwellings to test. If the multifamily housing has fewer than 5 similar dwellings, all residential dwellings will be tested. Residential dwellings chosen by targeted selection will meet as many of the following criteria as possible. If additional residential dwellings are needed to meet the minimum number specified in Table 2, the certified lead inspector/risk assessor or elevated blood lead (EBL) inspector/risk assessor will select them randomly. If too many residential dwellings meet the criteria, residential dwellings will be eliminated randomly. Targeted selection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will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serves as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will use Table 2 to determine the number of residential dwellings to test. If the multifamily housing has fewer than five similar dwellings, all residential dwellings will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will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calculate the arithmetic mean of the dust-lead levels for carpeted floors, uncarpeted floors, interior windowsills, and window troughs. If the arithmetic mean is greater than or equal to the level defined as a dust-lead hazard for the component, then the certified lead inspector/risk assessor or elevated blood lead (EBL) inspector/risk assessor will determine that a dust-lead hazard has been identified on the component throughout the multifamily housing. If the arithmetic mean is less than the level defined as a dust-lead hazard for the component, but some of the individual components have dust-lead levels that are greater than or equal to the level defined as a dust-lead hazard, then the certified lead inspector/risk assessor or elevated blood lead (EBL) inspector/risk assessor will determine that a dust-lead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will evaluate the results of paint sampling by component and location. If all components at a given location are determined to be painted with lead-based paint or are determined not to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will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will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reevaluation is conducted, the first reevaluation will be conducted no later than two years from completion of lead abatement, interim controls, or standard treatments. Subsequent reevaluation will be conducted at intervals of two years, plus or minus 60 days. To be exempt from additional reevaluation, a residential dwelling or child-occupied facility will have at least two consecutive passing reevaluations conducted at such two-year intervals. If, however, a reevaluation fails, at least two more consecutive reevaluations conducted at such two-year intervals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certified elevated blood lead (EBL) inspector/risk assessor will prepare a written report for each residential dwelling or child-occupied facility where a reevaluation is conducted. No later than three weeks after the receipt of laboratory results, the certified lead inspector/risk assessor or certified elevated blood lead (EBL) inspector/risk assessor will send a copy of the report to the property owner and to the person requesting the reevaluation, if different. A certified lead inspector/risk assessor or certified elevated blood lead (EBL) inspector/risk assessor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information gathered for the review as outlined in </w:t>
      </w:r>
      <w:hyperlink r:id="rId91">
        <w:r>
          <w:rPr>
            <w:rStyle w:val="Hyperlink"/>
            <w:rFonts w:ascii="Times New Roman" w:hAnsi="Times New Roman"/>
            <w:b w:val="false"/>
            <w:i w:val="false"/>
            <w:color w:val="000000"/>
            <w:sz w:val="22"/>
          </w:rPr>
          <w:t>470.6(10)</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 including details of any newly identified lead-based paint hazards, the status of past lead hazard control measures, and repair options for any lead-based paint hazards identified during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or not the property passed or failed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indication of when the next reevaluation, if any, should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results of any environmental samples taken, including all XRF readings, all laboratory analyses and clearance testing results,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9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found in </w:t>
      </w:r>
      <w:hyperlink r:id="rId93">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will contain the statement set forth in subparagraph </w:t>
      </w:r>
      <w:hyperlink r:id="rId94">
        <w:r>
          <w:rPr>
            <w:rStyle w:val="Hyperlink"/>
            <w:rFonts w:ascii="Times New Roman" w:hAnsi="Times New Roman"/>
            <w:b w:val="false"/>
            <w:i w:val="false"/>
            <w:color w:val="000000"/>
            <w:sz w:val="22"/>
          </w:rPr>
          <w:t>470.6(7)</w:t>
        </w:r>
        <w:r>
          <w:rPr>
            <w:rFonts w:ascii="Times New Roman" w:hAnsi="Times New Roman"/>
            <w:b w:val="false"/>
            <w:i/>
            <w:color w:val="000000"/>
            <w:sz w:val="22"/>
          </w:rPr>
          <w:t>“c”</w:t>
        </w:r>
        <w:r>
          <w:rPr>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470.6(11)</w:t>
      </w:r>
      <w:r>
        <w:rPr>
          <w:rFonts w:ascii="Times New Roman" w:hAnsi="Times New Roman"/>
          <w:b w:val="false"/>
          <w:i w:val="false"/>
          <w:color w:val="000000"/>
          <w:sz w:val="22"/>
        </w:rPr>
        <w:t> </w:t>
      </w:r>
      <w:r>
        <w:rPr>
          <w:rFonts w:ascii="Times New Roman" w:hAnsi="Times New Roman"/>
          <w:b w:val="false"/>
          <w:i w:val="false"/>
          <w:color w:val="000000"/>
          <w:sz w:val="22"/>
        </w:rPr>
        <w:t>All renovations performed in target housing and child-occupied facilities, except for emergency renovations and minor repair and maintenance activities, will be performed according to the work practice standards in this subrule. Renovation activities conducted in housing or on surfaces determined to be free of lead-based paint by a certified lead inspector/risk assessor or certified elevated blood lead (EBL) inspector/risk assessor will be exempt from all work practice standards except recordkeeping. All renovations will be performed by a certified firm under the supervision of a certified lead abatement contractor or a certified lead abatement worker or will be performed by a certified lead-safe renovator in accordance with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firm will assign at least one certified lead abatement contractor, a certified lead abatement worker, or a certified lead-safe renovator to each individual renovation project. The certified lead abatement contractor, certified lead abatement worker, or certified lead-safe renovator assigned to each individual renovation project will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a certified lead abatement worker, or a certified lead-safe renovator will be on site during all worksite preparation and during the cleanup of work areas. At all other times when renovation is being conducted, a certified lead abatement contractor, a certified lead abatement worker, or a certified lead-safe renovator will be on site or available by telephone or answering service and be able to be present at the worksite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are posted and readable. All signs will be posted before the renovation begins and will remain in place until the postrenovation cleaning verification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all signage will be posted in the occupants’ primary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will clearly define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signs will warn occupants and other persons not involved with the renovation activity to remain outside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signs will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work area will be effectively contained before the renovation is begun. To be effective, containment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Isolate the work area so that no dust or debris leaves the work area while the renovation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removal or covering of all objects from the work area. Objects that are not removed from the work area will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Closing and covering all duct openings in the work area. Ducts will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Closing windows and doors in the work area. Doors will be covered with plastic sheeting or other impermeable material. Doors used as an entrance to the work area will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renovation or a sufficient distance to contain the dust,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containment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Closing all doors and windows within 20 feet of the renovation. On multistory buildings, all doors and windows within 20 feet of the renovation on the same story as the renovation will be closed, and all doors and windows on all stories below the renovation that are the same horizontal distance from the renovation will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doors within the work areas that will be used while the renovation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Covering the ground with plastic sheeting or other disposable impermeable material extending ten feet beyond the perimeter of surfaces undergoing renovation or a sufficient distance to collect falling paint debris, whichever is greater, unless the property line prevents ten feet of such ground cover. Exterior ground cover will include anchors or weights to ensure the covering remains effective even during weather conditions such as high wind.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certified lead abatement worker, or certified lead-safe renovator will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Prohibited practices are not used during the renovation. Prohibited practices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Open-flame burning or torching of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 sanding or grinding or abrasive blasting or sandblasting of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Uncontained water blasting of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Dry scraping or dry sanding of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All workers who are not certified lead abatement contractors, certified lead abatement workers, or certified lead-safe renovators must have on-the-job training as required by paragraph </w:t>
      </w:r>
      <w:hyperlink r:id="rId95">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“d.”</w:t>
      </w:r>
      <w:r>
        <w:rPr>
          <w:rFonts w:ascii="Times New Roman" w:hAnsi="Times New Roman"/>
          <w:b w:val="false"/>
          <w:i w:val="false"/>
          <w:color w:val="000000"/>
          <w:sz w:val="22"/>
        </w:rPr>
        <w:t xml:space="preserve">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desired, perform all testing with recognized test kits in accordance with paragraph </w:t>
      </w:r>
      <w:hyperlink r:id="rId96">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postrenovation cleaning verification as outlined in paragraph </w:t>
      </w:r>
      <w:hyperlink r:id="rId97">
        <w:r>
          <w:rPr>
            <w:rStyle w:val="Hyperlink"/>
            <w:rFonts w:ascii="Times New Roman" w:hAnsi="Times New Roman"/>
            <w:b w:val="false"/>
            <w:i w:val="false"/>
            <w:color w:val="000000"/>
            <w:sz w:val="22"/>
          </w:rPr>
          <w:t>470.6(11)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renovation activities is contained to prevent the release of dust and debris before the waste is removed from the work area for storage or disposal. Any chutes used to remove waste from the work area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workday and at the conclusion of the renovation, waste that has been collected from renovation activities will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waste from renovation activities will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work area will be cleaned so that no dust, debris, or residue remains after the renovation. Cleaning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removal of the protective sheeting used as required in this subrule. The sheeting will be misted, then the sheeting will be folded dirty side inward. All sheeting will be taped shut or otherwise sealed inside heavy-duty bags. Sheeting used to separate work areas from non-work areas will remain in place until after the cleaning and removal of other sheeting. All sheeting will be disposed of 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all objects and surfaces in the work area and within two feet of the work area will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will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will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will also be wiped with a damp cloth. Uncarpeted floors will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Postrenovation cleaning verification. A certified lead abatement contractor, certified lead abatement worker, or certified lead-safe renovator will use the following procedure for conducting postrenovation cleaning verification. In lieu of postrenovation cleaning verification, clearance testing as outlined in subrule </w:t>
      </w:r>
      <w:hyperlink r:id="rId98">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can be performed. If the work is done in response to an elevated blood lead (EBL) inspection, clearance testing will be performed by a certified elevated blood lead (EBL) inspector/risk assessor in lieu of postrenovation cleaning verification. Warning signs may be removed after all of the work areas in a renovation project have been adequately cleaned and verified or passed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the certified lead abatement contractor, certified lead abatement worker, or certified lead-safe renovator will perform a visual inspection to determine whether dust, debris, or residue is still present. If dust, debris, or residue is still present, these conditions will be removed by recleaning, and another visual inspection will be performed. Following a successful visual inspection, a certified lead abatement contractor, certified lead abatement worker, or certified lead-safe renovator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each windowsill and window trough in the work area has been adequately cleaned, using the following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the windowsill and window trough with a wet disposable cleaning cloth that is damp to the touch. If the cloth matches or is lighter than the cleaning verification card, the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windowsill or window trough as directed in subparagraph </w:t>
      </w:r>
      <w:hyperlink r:id="rId99">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(11). Then wipe the windowsill or window trough again, using a new cloth or the same cloth folded in such a way that an unused surface is exposed. If the cloth matches or is lighter than the cleaning verification card, that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windowsill or window trough to dry, wipe the windowsill or window trough with a dry disposable cleaning cloth. After this wipe, that windowsill or window trough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that uncarpeted floors and countertops in the work area have been adequately cleaned, using the following procedure. If the surface within the work area is greater than 40 square feet, the surface within the work area will be divided into roughly equal sections that are each less than 40 square feet.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uncarpeted floors and countertops within the work area with a wet disposable cleaning cloth. Floors will be wiped using an application device with a long handle and a head to which the cloth is attached. The cloth will remain damp at all times while it is being used to wipe the surface for postrenovation cleaning verification. Wipe each such section separately with a new wet disposable cleaning cloth. If the cloth used to wipe each section of the surface within the work area matches or is lighter than the cleaning verification card, the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surface as in subparagraph </w:t>
      </w:r>
      <w:hyperlink r:id="rId100">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(11). Then wipe the floor or countertop again, using a new cloth. If the cloth matches or is lighter than the cleaning verification card, that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surface to dry, wipe each section of the surface that has not yet achieved the postrenovation cleaning verification with a dry disposable cleaning cloth. After this wipe, that surface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the certified lead abatement contractor, certified lead abatement worker, or certified lead-safe renovator will perform a visual inspection to determine whether dust, debris, or residue is still present on surfaces in and below the work area, including windowsills and the ground. If dust, debris, or residue is present, these conditions must be eliminated and another visual inspection will be performed. When the area passes the visual inspection, the exterior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will only use cleaning verification cards that are approved by the U.S. EPA and have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Clearance testing. Postrenovation cleaning verification is not required if the contract between the renovation firm and the person contracting for the renovation or another federal, state, territorial, tribal, or local law or regulation requires the renovation firm to perform clearance testing at the conclusion of a renovation covered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dust samples will be collected by a certified lead inspector/risk assessor, certified elevated blood lead (EBL) inspector/risk assessor, or certified sampling technician. If the work is done in response to an elevated blood lead (EBL) inspection, the dust samples will be collected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firm conducting the renovation is required to reclean the work area until the dust clearance sample results are below the clearance standards in subrule </w:t>
      </w:r>
      <w:hyperlink r:id="rId101">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The certified lead abatement contractor, certified lead abatement worker, or certified lead-safe renovator assigned to the renovation project will ensure that each noncertified individual conducting renovation activities has been or is currently being trained on how to safely conduct renovation activities.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on-the-job training will be conducted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noncertified individual will be trained by a certified lead abatement contractor, certified lead abatement worker, or certified lead-safe renovator who is employed by the same certified firm. On-the-job training does not meet the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On-the-job training will be specific for the type of work the noncertified individual is performing and must include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overview of the requirements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overview of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to prevent taking lead dust home from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and why to properly set up a work area for lead-safe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and where to properly post signage.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How and why to properly set up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How and why to minimize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Proper cleaning techniques and timelines for cleaning in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handle and control waste generated from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overview of the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overview of the prerenovation notification requirements found in </w:t>
      </w:r>
      <w:hyperlink r:id="rId102">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test kits. A certified lead abatement contractor, certified lead abatement worker, or certified lead-safe renovator may use recognized test kits to determine whether surfaces to be affected by renovation activities are painted with lead-based paint. The result from each individual test performed applies only to the individual surface tested. Surfaces that are determined by proper use of a recognized test kit to be free of lead-based paint are exempt from the requirements of paragraphs </w:t>
      </w:r>
      <w:hyperlink r:id="rId103">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Results obtained from recognized test kits are only valid if the testing was performed according to the manufacturer’s directions. A certified lead abatement contractor, certified lead abatement worker, or certified lead-safe renovator will not discard a valid result from a recognized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will complete a written report when conducting a renovation. The report will include the results of any testing performed with a recognized test kit, information regarding the work practices used in the renovation and, if applicable, a copy of the clearance testing report. When the final invoice for the renovation is delivered or within 30 days after the renovation activity is complete, whichever is earlier, the certified lead abatement contractor, certified lead abatement worker, or certified lead-safe renovator will send a copy of the report to the owner of the building. If the renovation took place within a residential dwelling, the certified lead abatement contractor, certified lead abatement worker, or certified lead-safe renovator will send a copy of the report to an adult occupant of the residential dwelling and to the person requesting the renovation, if different from the owner. If the renovation took place within a child-occupied facility, the certified lead abatement contractor, certified lead abatement worker, or certified lead-safe renovator will send a copy of the report to an adult representative of the child-occupied facility and to the person requesting the renovation, if different from the owner. If the renovation took place within common areas of multifamily target housing, the certified lead abatement contractor, certified lead abatement worker, or certified lead-safe renovator will post in areas where it is likely to be seen by the occupants of all of the affected units the report required by this paragraph or instructions on how interested occupants can obtain a copy of this report at no charge. If the renovation took place within a child-occupied facility, the certified lead abatement contractor, certified lead abatement worker, or certified lead-safe renovator will post in areas where it is likely to be seen by the parents or guardians of children frequenting the child-occupied facility the report required by this paragraph or instructions on how interested parents or guardians of children frequenting the child-occupied facility can obtain a copy of this report at no charge. A certified lead abatement contractor, certified lead abatement worker, or certified lead-safe renovator will maintain a copy of the report for no less than three years. The report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the building, including 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owner(s) of the address(es) where the renovation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signature, certification number, and telephone number of the certified lead abatement contractor, certified lead abatement worker, or certified lead-safe renovator who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performing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testing was performed with a recognized test kit, the location of each test. The location will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The results will be classified as either positive for lead-based paint or negative for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manufacturer of the recognized test kit(s) used, the expiration date, and the EPA approval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work practices used in the renovation, including the location(s) where each work practice was used. The location will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04">
        <w:r>
          <w:rPr>
            <w:rStyle w:val="Hyperlink"/>
            <w:rFonts w:ascii="Times New Roman" w:hAnsi="Times New Roman"/>
            <w:b w:val="false"/>
            <w:i w:val="false"/>
            <w:color w:val="000000"/>
            <w:sz w:val="22"/>
          </w:rPr>
          <w:t>481—Chapter 469</w:t>
        </w:r>
      </w:hyperlink>
      <w:r>
        <w:rPr>
          <w:rFonts w:ascii="Times New Roman" w:hAnsi="Times New Roman"/>
          <w:b w:val="false"/>
          <w:i w:val="false"/>
          <w:color w:val="000000"/>
          <w:sz w:val="22"/>
        </w:rPr>
        <w:t xml:space="preserve">; and information regarding Iowa’s regulations for renovation, remodeling and repainting found in </w:t>
      </w:r>
      <w:hyperlink r:id="rId105">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Records will be kept for each renovation project that involves target housing or child-occupied facilities. The records for each renovation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lead abatement contractor, certified lead abatement worker, or certified lead-safe renovator responsible for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that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address(es) of the property where the renovation activity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the property owner where the renovation activity was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Renovations considered emergency pursuant to rule </w:t>
      </w:r>
      <w:hyperlink r:id="rId10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will contain a description of the circumstances explaining why the renovations were immediately required and which work practice standards were not followed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reports or documentation completed by a certified lead professional concerning the renovation project, including documentation from certified lead inspector/risk assessors or certified elevated blood lead (EBL) lead inspector/risk assessors regarding housing, components, or surfaces that have been determined to be free of lead-based paint and clearance reports from clearance testing performed in lieu of postrenovation cleaning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each noncertified individual working on the renovation project had, or was receiving, the appropriate on-the-job training outlined in paragraph </w:t>
      </w:r>
      <w:hyperlink r:id="rId107">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documentation will include the names of all of the noncertified individuals who worked on the renovation.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certified lead-safe renovator followed the work practices for renovation activities outlined in this subrule. This will include documentation that the following work practices were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were posted at the entrance to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 area was contained.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objects in the work area were covered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HVAC ducts in the work area were closed and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windows in the work area were closed, and all windows within 20 feet of exterior work areas were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doors not used to enter the work area were closed and sealed, and all doors within 20 feet of exterior work areas were closed and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doors used as an entrance to the work area had containment in place to prevent the spread of dust and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floors in the work area were covered for a sufficient distance to contain the dust and debris from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Adequate ground cover was in place to contain the dust and debris for exterior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Adequate vertical containment was in place to contain the dust and debris for exterior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the renovations was contained throughout the renovation and the transportation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renovation work area was cleaned and passed the postrenovation cleaning verification procedures outlined in paragraph </w:t>
      </w:r>
      <w:hyperlink r:id="rId108">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including the expiration date of the cleaning verification cards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regarding the use of any recognized test kits outlined in paragraph </w:t>
      </w:r>
      <w:hyperlink r:id="rId109">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documentation will include a copy of the written report required by paragraph </w:t>
      </w:r>
      <w:hyperlink r:id="rId110">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 activities that are deemed to be an emergency are exempt from the certification requirements and all of the work practice standards, except for the cleaning requirements, postrenovation cleaning verification, and the written report required by paragraph </w:t>
      </w:r>
      <w:hyperlink r:id="rId111">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postrenovation cleaning will take place under the direction of a certified lead abatement contractor, certified lead abatement worker, or certified lead-safe renovator. The postrenovation cleaning verification after an emergency renovation will be performed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renovations that are required as a result of an elevated blood lead (EBL) inspection are initially exempt from the certification requirements. The work practice standards found in paragraph </w:t>
      </w:r>
      <w:hyperlink r:id="rId112">
        <w:r>
          <w:rPr>
            <w:rStyle w:val="Hyperlink"/>
            <w:rFonts w:ascii="Times New Roman" w:hAnsi="Times New Roman"/>
            <w:b w:val="false"/>
            <w:i w:val="false"/>
            <w:color w:val="000000"/>
            <w:sz w:val="22"/>
          </w:rPr>
          <w:t>470.6(11)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apply. All individuals who perform emergency renovations in response to an elevated blood lead (EBL) inspection are required to obtain certification as a lead-safe renovator, lead abatement contractor, or lead abatement worker within six months from the date the elevated blood lead (EBL) inspection report was issued. Renovations and interim controls performed in response to an elevated blood lead (EBL) inspection are required to pass clearance testing that is performed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certified as a lead inspector/risk assessor, sampling technician, or elevated blood lead (EBL) inspector/risk assessor and as a lead abatement contractor or lead abatement worker. Except as specified by paragraphs </w:t>
      </w:r>
      <w:hyperlink r:id="rId113">
        <w:r>
          <w:rPr>
            <w:rStyle w:val="Hyperlink"/>
            <w:rFonts w:ascii="Times New Roman" w:hAnsi="Times New Roman"/>
            <w:b w:val="false"/>
            <w:i w:val="false"/>
            <w:color w:val="000000"/>
            <w:sz w:val="22"/>
          </w:rPr>
          <w:t>470.6(6)</w:t>
        </w:r>
      </w:hyperlink>
      <w:r>
        <w:rPr>
          <w:rFonts w:ascii="Times New Roman" w:hAnsi="Times New Roman"/>
          <w:b w:val="false"/>
          <w:i/>
          <w:color w:val="000000"/>
          <w:sz w:val="22"/>
        </w:rPr>
        <w:t>“k”</w:t>
      </w:r>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470.6(8)</w:t>
        </w:r>
      </w:hyperlink>
      <w:r>
        <w:rPr>
          <w:rFonts w:ascii="Times New Roman" w:hAnsi="Times New Roman"/>
          <w:b w:val="false"/>
          <w:i/>
          <w:color w:val="000000"/>
          <w:sz w:val="22"/>
        </w:rPr>
        <w:t>“f,”</w:t>
      </w:r>
      <w:r>
        <w:rPr>
          <w:rFonts w:ascii="Times New Roman" w:hAnsi="Times New Roman"/>
          <w:b w:val="false"/>
          <w:i w:val="false"/>
          <w:color w:val="000000"/>
          <w:sz w:val="22"/>
        </w:rPr>
        <w:t xml:space="preserve"> a person who is certified both as a lead inspector/risk assessor, sampling technician, or elevated blood lead (EBL) inspector/risk assessor and as a lead abatement contractor or lead abatement worker will not provide both lead inspection or visual risk assessment and lead abatement services at the same site unless a written consent or waiver, following full disclosure by the person, is obtained from the owner or manager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paint chip, dust, or soil samples collected pursuant to the work practice standards contained in subrules </w:t>
      </w:r>
      <w:hyperlink r:id="rId115">
        <w:r>
          <w:rPr>
            <w:rStyle w:val="Hyperlink"/>
            <w:rFonts w:ascii="Times New Roman" w:hAnsi="Times New Roman"/>
            <w:b w:val="false"/>
            <w:i w:val="false"/>
            <w:color w:val="000000"/>
            <w:sz w:val="22"/>
          </w:rPr>
          <w:t>470.6(1)</w:t>
        </w:r>
      </w:hyperlink>
      <w:r>
        <w:rPr>
          <w:rFonts w:ascii="Times New Roman" w:hAnsi="Times New Roman"/>
          <w:b w:val="false"/>
          <w:i w:val="false"/>
          <w:color w:val="000000"/>
          <w:sz w:val="22"/>
        </w:rPr>
        <w:t xml:space="preserve"> through </w:t>
      </w:r>
      <w:hyperlink r:id="rId116">
        <w:r>
          <w:rPr>
            <w:rStyle w:val="Hyperlink"/>
            <w:rFonts w:ascii="Times New Roman" w:hAnsi="Times New Roman"/>
            <w:b w:val="false"/>
            <w:i w:val="false"/>
            <w:color w:val="000000"/>
            <w:sz w:val="22"/>
          </w:rPr>
          <w:t>470.6(6)</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470.6(9)</w:t>
        </w:r>
      </w:hyperlink>
      <w:r>
        <w:rPr>
          <w:rFonts w:ascii="Times New Roman" w:hAnsi="Times New Roman"/>
          <w:b w:val="false"/>
          <w:i w:val="false"/>
          <w:color w:val="000000"/>
          <w:sz w:val="22"/>
        </w:rPr>
        <w:t xml:space="preserve"> will be collected by persons certified as a lead inspector/risk assessor or an elevated blood lead (EBL) inspector/risk assessor. Any paint chip, dust, or soil samples collected pursuant to the work practice standards contained in subrule </w:t>
      </w:r>
      <w:hyperlink r:id="rId118">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for clearance testing following lead abatement will be collected by persons certified as a lead inspector/risk assessor or an elevated blood lead (EBL) inspector/risk assessor. Any dust or soil samples collected pursuant to the work practice standards contained in subrule </w:t>
      </w:r>
      <w:hyperlink r:id="rId119">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xml:space="preserve"> for clearance testing after renovation or interim controls, paint stabilization, standard treatments, ongoing lead-based paint maintenance, and rehabilitation pursuant to 24 CFR Part 35 will be collected only by certified sampling technicians, certified lead inspector/risk assessors, or certified elevated blood lead (EBL) inspector/risk assessors. Any paint chip, dust, or soil samples collected pursuant to the work practice standards contained in rule </w:t>
      </w:r>
      <w:hyperlink r:id="rId120">
        <w:r>
          <w:rPr>
            <w:rStyle w:val="Hyperlink"/>
            <w:rFonts w:ascii="Times New Roman" w:hAnsi="Times New Roman"/>
            <w:b w:val="false"/>
            <w:i w:val="false"/>
            <w:color w:val="000000"/>
            <w:sz w:val="22"/>
          </w:rPr>
          <w:t>481—470.6(10A)</w:t>
        </w:r>
      </w:hyperlink>
      <w:r>
        <w:rPr>
          <w:rFonts w:ascii="Times New Roman" w:hAnsi="Times New Roman"/>
          <w:b w:val="false"/>
          <w:i w:val="false"/>
          <w:color w:val="000000"/>
          <w:sz w:val="22"/>
        </w:rPr>
        <w:t xml:space="preserve"> will be analyzed by a recognized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470.6(14)</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Composite dust sampling will be conducted only in the situations specified in subrules </w:t>
      </w:r>
      <w:hyperlink r:id="rId121">
        <w:r>
          <w:rPr>
            <w:rStyle w:val="Hyperlink"/>
            <w:rFonts w:ascii="Times New Roman" w:hAnsi="Times New Roman"/>
            <w:b w:val="false"/>
            <w:i w:val="false"/>
            <w:color w:val="000000"/>
            <w:sz w:val="22"/>
          </w:rPr>
          <w:t>470.6(4) through 470.6(6)</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470.6(8)</w:t>
        </w:r>
      </w:hyperlink>
      <w:r>
        <w:rPr>
          <w:rFonts w:ascii="Times New Roman" w:hAnsi="Times New Roman"/>
          <w:b w:val="false"/>
          <w:i w:val="false"/>
          <w:color w:val="000000"/>
          <w:sz w:val="22"/>
        </w:rPr>
        <w:t>. If composite sampling is conducted, it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will consist of at least two subsamples.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component that is being tested will be included in the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will not consist of subsamples from more than one type of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composite dust samples will be evaluated by comparing the residual lead level as determined by the laboratory analysis from each composite dust sample with applicable single-surface dust-lead hazard or clearance levels for lead in dust on floors, interior windowsills, and window troughs divided by half the number of subsamples in the composite sample.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481—470.7</w:t>
      </w:r>
      <w:r>
        <w:rPr>
          <w:rFonts w:ascii="Times New Roman" w:hAnsi="Times New Roman"/>
          <w:b/>
          <w:i w:val="false"/>
          <w:color w:val="000000"/>
          <w:sz w:val="22"/>
        </w:rPr>
        <w:t xml:space="preserve">(10A) </w:t>
      </w:r>
      <w:r>
        <w:rPr>
          <w:rFonts w:ascii="Times New Roman" w:hAnsi="Times New Roman"/>
          <w:b/>
          <w:i w:val="false"/>
          <w:color w:val="000000"/>
          <w:sz w:val="22"/>
        </w:rPr>
        <w:t xml:space="preserve">Firms. </w:t>
      </w:r>
      <w:r>
        <w:rPr>
          <w:rFonts w:ascii="Times New Roman" w:hAnsi="Times New Roman"/>
          <w:b w:val="false"/>
          <w:i w:val="false"/>
          <w:color w:val="000000"/>
          <w:sz w:val="22"/>
        </w:rPr>
        <w:t xml:space="preserve">All firms that perform or offer to perform lead-based paint activities must be certified by the department. Firms will employ only appropriately certified employees to conduct lead-based paint activities, and the firm and its employees will follow the work practice standards in rule </w:t>
      </w:r>
      <w:hyperlink r:id="rId123">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 A firm must employ at least one certified individual in order to receive or maintain firm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470.7(1)</w:t>
      </w:r>
      <w:r>
        <w:rPr>
          <w:rFonts w:ascii="Times New Roman" w:hAnsi="Times New Roman"/>
          <w:b w:val="false"/>
          <w:i w:val="false"/>
          <w:color w:val="000000"/>
          <w:sz w:val="22"/>
        </w:rPr>
        <w:t> </w:t>
      </w:r>
      <w:r>
        <w:rPr>
          <w:rFonts w:ascii="Times New Roman" w:hAnsi="Times New Roman"/>
          <w:b w:val="false"/>
          <w:i w:val="false"/>
          <w:color w:val="000000"/>
          <w:sz w:val="22"/>
        </w:rPr>
        <w:t>A firm wishing to be certified will apply to the department electronically in a format specified by the department or may apply using a paper application supplied by the department. The firm will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will document that the agency and its employees or contractors will follow the work practice standards in rule </w:t>
      </w:r>
      <w:hyperlink r:id="rId124">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firm will maintain all records required by rule </w:t>
      </w:r>
      <w:hyperlink r:id="rId125">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with the exception of elevated blood lead (EBL) inspection reports, for three years. Certified firms that are also certified as elevated blood lead (EBL) inspection agencies will maintain elevated blood lead (EBL) inspection reports for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470.7(2)</w:t>
      </w:r>
      <w:r>
        <w:rPr>
          <w:rFonts w:ascii="Times New Roman" w:hAnsi="Times New Roman"/>
          <w:b w:val="false"/>
          <w:i w:val="false"/>
          <w:color w:val="000000"/>
          <w:sz w:val="22"/>
        </w:rPr>
        <w:t> </w:t>
      </w:r>
      <w:r>
        <w:rPr>
          <w:rFonts w:ascii="Times New Roman" w:hAnsi="Times New Roman"/>
          <w:b w:val="false"/>
          <w:i w:val="false"/>
          <w:color w:val="000000"/>
          <w:sz w:val="22"/>
        </w:rPr>
        <w:t>Firms must be recertified every three years. To be recertified, the firm will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will document that the firm and its employees or contractors will follow the work practice standards in rule </w:t>
      </w:r>
      <w:hyperlink r:id="rId126">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for conducting lead-based paint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481—470.8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481—470.9</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470.9(1)</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violations of the provisions regarding lead-based paint activities may occur for the purpose of conducting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470.9(2)</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training programs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470.9(3)</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samples and review records as part of the lead-based paint activities compliance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all reports involving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subpoenas pursuant to Iowa Code chapter </w:t>
      </w:r>
      <w:hyperlink r:id="rId12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for the purposes of determining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481—470.10</w:t>
      </w:r>
      <w:r>
        <w:rPr>
          <w:rFonts w:ascii="Times New Roman" w:hAnsi="Times New Roman"/>
          <w:b/>
          <w:i w:val="false"/>
          <w:color w:val="000000"/>
          <w:sz w:val="22"/>
        </w:rPr>
        <w:t xml:space="preserve">(10A) </w:t>
      </w:r>
      <w:r>
        <w:rPr>
          <w:rFonts w:ascii="Times New Roman" w:hAnsi="Times New Roman"/>
          <w:b/>
          <w:i w:val="false"/>
          <w:color w:val="000000"/>
          <w:sz w:val="22"/>
        </w:rPr>
        <w:t xml:space="preserve">Denial, suspension, or revocation of certification; denial, suspension, revocation, or modification of course approval; and imposition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470.10(1)</w:t>
      </w:r>
      <w:r>
        <w:rPr>
          <w:rFonts w:ascii="Times New Roman" w:hAnsi="Times New Roman"/>
          <w:b w:val="false"/>
          <w:i w:val="false"/>
          <w:color w:val="000000"/>
          <w:sz w:val="22"/>
        </w:rPr>
        <w:t> </w:t>
      </w:r>
      <w:r>
        <w:rPr>
          <w:rFonts w:ascii="Times New Roman" w:hAnsi="Times New Roman"/>
          <w:b w:val="false"/>
          <w:i w:val="false"/>
          <w:color w:val="000000"/>
          <w:sz w:val="22"/>
        </w:rPr>
        <w:t>When the department finds that the applicant, certified lead professional, or certified firm has committed any of the following acts, the department may deny an application for certification, may suspend or revoke a certification, may prohibit specific work practices, may require a project conducted by persons or firms that are not certified or a project where prohibited work practices are being used to be halted, may require the cleanup of lead hazards created by the use of prohibited work practices, may impose a civil penalty, may place on probation, may require additional education, may require reexamination of the state certification examination, may issue a warning, or may impose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establish, maintain, provide, copy, or permit access to records or reports as required by rules </w:t>
      </w:r>
      <w:hyperlink r:id="rId128">
        <w:r>
          <w:rPr>
            <w:rStyle w:val="Hyperlink"/>
            <w:rFonts w:ascii="Times New Roman" w:hAnsi="Times New Roman"/>
            <w:b w:val="false"/>
            <w:i w:val="false"/>
            <w:color w:val="000000"/>
            <w:sz w:val="22"/>
          </w:rPr>
          <w:t>481—470.3</w:t>
        </w:r>
      </w:hyperlink>
      <w:r>
        <w:rPr>
          <w:rFonts w:ascii="Times New Roman" w:hAnsi="Times New Roman"/>
          <w:b w:val="false"/>
          <w:i w:val="false"/>
          <w:color w:val="000000"/>
          <w:sz w:val="22"/>
        </w:rPr>
        <w:t xml:space="preserve">(10A) through </w:t>
      </w:r>
      <w:hyperlink r:id="rId129">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permit entry or inspection as described in subrules </w:t>
      </w:r>
      <w:hyperlink r:id="rId130">
        <w:r>
          <w:rPr>
            <w:rStyle w:val="Hyperlink"/>
            <w:rFonts w:ascii="Times New Roman" w:hAnsi="Times New Roman"/>
            <w:b w:val="false"/>
            <w:i w:val="false"/>
            <w:color w:val="000000"/>
            <w:sz w:val="22"/>
          </w:rPr>
          <w:t>470.9(1) through 470.9(3)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certification through fraudulent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obtain certification from the department and performing work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Fraudulently obtaining certification and engaging in any lead-based paint activities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any part of a lead-based paint activity that requires certification without being certified or with a certification that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Obtained documentation of training through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Gained admission to an accredited training program through misrepresentation of admission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Obtained certification through misrepresentation of certification requirements or related documents pertaining to education, training, professional registration,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Performed work requiring certification at a job site without having proof of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Permitted the duplication or use of the individual’s or firm’s own certificate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follow the standards of conduct required by rule </w:t>
      </w:r>
      <w:hyperlink r:id="rId131">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lead professional activities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lead professional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Negligence by the firm or individual in the practice of lead professional activities. This includes a failure to exercise due care, including negligent delegation of duties or supervision of employees or other individuals, whether or not injury results; or any conduct, practice, or conditions that impair the ability of the firm or individual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Been convicted of a felony or misdemeanor related to lead professional activities or the conviction of any felony or misdemeanor that would affect the ability of the firm or individual to perform lead professional activities. A copy of the record of conviction or plea of guilty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Unethical conduct. This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conduct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ability of the firm or individual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inability of a lead professional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excessive use of drugs that may impair a lead professional’s ability to practice with reasonable skill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Registration on a state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470.10(2)</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revoke, or modify the approval for a course, or may place on probation, or impose other sanctions allowed by law as may be appropriate, or may impose a civil penalty or impose other sanctions allowed by law as may be appropriate when it finds that the training program, training manager, or other person with supervisory authority over the course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Misrepresented the contents of a training course to the department or to the student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Failed to maintain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approval records, instructor qualifications, or other information or documentation related to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comply with the training standards and requirements in rule </w:t>
      </w:r>
      <w:hyperlink r:id="rId132">
        <w:r>
          <w:rPr>
            <w:rStyle w:val="Hyperlink"/>
            <w:rFonts w:ascii="Times New Roman" w:hAnsi="Times New Roman"/>
            <w:b w:val="false"/>
            <w:i w:val="false"/>
            <w:color w:val="000000"/>
            <w:sz w:val="22"/>
          </w:rPr>
          <w:t>481—470.4</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Made false or misleading statements to the department in its application for approval or reapproval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conducting a training program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training program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will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470.10(3)</w:t>
      </w:r>
      <w:r>
        <w:rPr>
          <w:rFonts w:ascii="Times New Roman" w:hAnsi="Times New Roman"/>
          <w:b w:val="false"/>
          <w:i w:val="false"/>
          <w:color w:val="000000"/>
          <w:sz w:val="22"/>
        </w:rPr>
        <w:t> </w:t>
      </w:r>
      <w:r>
        <w:rPr>
          <w:rFonts w:ascii="Times New Roman" w:hAnsi="Times New Roman"/>
          <w:b w:val="false"/>
          <w:i w:val="false"/>
          <w:color w:val="000000"/>
          <w:sz w:val="22"/>
        </w:rPr>
        <w:t>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training program, or firm that has been revoked, denied, or suspended may apply to the department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certification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470.10(4)</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certified lead professional, a certified elevated blood lead (EBL) inspection agency, a certified firm, or an approved course may be submitted to the department. The complainant should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lead professional, certified elevated blood lead (EBL) inspection agency, or certified firm and the specific details of the action(s) by the certified lead professional, certified elevated blood lead (EBL) inspection agency, or certified firm that did not comply with the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lead professional or firm that conducted lead professional activities without the appropriate certification or approval as required by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of an approved course and the specific way(s) that an approved course did not comply with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that provided a course without the approval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470.10(5)</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133">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certification, approval,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34">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35">
        <w:r>
          <w:rPr>
            <w:rStyle w:val="Hyperlink"/>
            <w:rFonts w:ascii="Times New Roman" w:hAnsi="Times New Roman"/>
            <w:b w:val="false"/>
            <w:i w:val="false"/>
            <w:color w:val="000000"/>
            <w:sz w:val="22"/>
          </w:rPr>
          <w:t>470.10(5)</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violation timely requests a contested case hearing, it will be initiated and held in accordance with </w:t>
      </w:r>
      <w:hyperlink r:id="rId13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470.10(6)</w:t>
      </w:r>
      <w:r>
        <w:rPr>
          <w:rFonts w:ascii="Times New Roman" w:hAnsi="Times New Roman"/>
          <w:b w:val="false"/>
          <w:i w:val="false"/>
          <w:color w:val="000000"/>
          <w:sz w:val="22"/>
        </w:rPr>
        <w:t> </w:t>
      </w:r>
      <w:r>
        <w:rPr>
          <w:rFonts w:ascii="Times New Roman" w:hAnsi="Times New Roman"/>
          <w:b w:val="false"/>
          <w:i w:val="false"/>
          <w:color w:val="000000"/>
          <w:sz w:val="22"/>
        </w:rPr>
        <w:t>Public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revocation, modification, or reinstatement of course approval through appropriate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courses for which the approval has been suspended, revoked, modified,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will be notified of the suspension or revocation of the certification of a lead professional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lead professionals and firms for which certification has been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481—470.11</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13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481—470.12</w:t>
      </w:r>
      <w:r>
        <w:rPr>
          <w:rFonts w:ascii="Times New Roman" w:hAnsi="Times New Roman"/>
          <w:b/>
          <w:i w:val="false"/>
          <w:color w:val="000000"/>
          <w:sz w:val="22"/>
        </w:rPr>
        <w:t xml:space="preserve">(10A)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the United States Code or to the Code of Federal Regulations are to those provisions in effect on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9">
        <w:r>
          <w:rPr>
            <w:rStyle w:val="Hyperlink"/>
            <w:rFonts w:ascii="Times New Roman" w:hAnsi="Times New Roman"/>
            <w:b w:val="false"/>
            <w:i w:val="false"/>
            <w:color w:val="000000"/>
            <w:sz w:val="22"/>
          </w:rPr>
          <w:t>10A.902</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9/16/96—published 10/9/96, effective 9/16/96]</w:t>
      </w:r>
    </w:p>
    <w:p>
      <w:pPr>
        <w:spacing w:before="0" w:after="0"/>
        <w:ind w:left="120"/>
        <w:jc w:val="center"/>
      </w:pPr>
      <w:r>
        <w:rPr>
          <w:rFonts w:ascii="Times New Roman" w:hAnsi="Times New Roman"/>
          <w:b w:val="false"/>
          <w:i w:val="false"/>
          <w:color w:val="000000"/>
          <w:sz w:val="21"/>
        </w:rPr>
        <w:t>[Filed 1/9/97, Notice 10/9/96—published 1/29/97, effective 3/5/97]</w:t>
      </w:r>
    </w:p>
    <w:p>
      <w:pPr>
        <w:spacing w:before="0" w:after="0"/>
        <w:ind w:left="120"/>
        <w:jc w:val="center"/>
      </w:pPr>
      <w:r>
        <w:rPr>
          <w:rFonts w:ascii="Times New Roman" w:hAnsi="Times New Roman"/>
          <w:b w:val="false"/>
          <w:i w:val="false"/>
          <w:color w:val="000000"/>
          <w:sz w:val="21"/>
        </w:rPr>
        <w:t>[Filed emergency 5/16/97 after Notice 4/9/97—published 6/4/97, effective 5/16/97]</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emergency 9/17/99—published 10/6/99, effective 9/17/99]</w:t>
      </w:r>
    </w:p>
    <w:p>
      <w:pPr>
        <w:spacing w:before="0" w:after="0"/>
        <w:ind w:left="120"/>
        <w:jc w:val="center"/>
      </w:pPr>
      <w:r>
        <w:rPr>
          <w:rFonts w:ascii="Times New Roman" w:hAnsi="Times New Roman"/>
          <w:b w:val="false"/>
          <w:i w:val="false"/>
          <w:color w:val="000000"/>
          <w:sz w:val="21"/>
        </w:rPr>
        <w:t>[Filed 11/12/99, Notice 10/6/99—published 12/1/99, effective 1/5/00]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9/14/00 after Notice 8/9/00—published 10/4/00, effective 9/14/00]</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After Notice ARC 8502B</w:t>
      </w:r>
      <w:r>
        <w:rPr>
          <w:rFonts w:ascii="Times New Roman" w:hAnsi="Times New Roman"/>
          <w:b w:val="false"/>
          <w:i w:val="false"/>
          <w:color w:val="000000"/>
          <w:sz w:val="21"/>
        </w:rPr>
        <w:t xml:space="preserve"> (Notice ARC 8357B,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0482C</w:t>
      </w:r>
      <w:r>
        <w:rPr>
          <w:rFonts w:ascii="Times New Roman" w:hAnsi="Times New Roman"/>
          <w:b w:val="false"/>
          <w:i w:val="false"/>
          <w:color w:val="000000"/>
          <w:sz w:val="21"/>
        </w:rPr>
        <w:t xml:space="preserve"> (Notice ARC 0369C,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3104C</w:t>
      </w:r>
      <w:r>
        <w:rPr>
          <w:rFonts w:ascii="Times New Roman" w:hAnsi="Times New Roman"/>
          <w:b w:val="false"/>
          <w:i w:val="false"/>
          <w:color w:val="000000"/>
          <w:sz w:val="21"/>
        </w:rPr>
        <w:t xml:space="preserve"> (Notice ARC 2969C,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4906C</w:t>
      </w:r>
      <w:r>
        <w:rPr>
          <w:rFonts w:ascii="Times New Roman" w:hAnsi="Times New Roman"/>
          <w:b w:val="false"/>
          <w:i w:val="false"/>
          <w:color w:val="000000"/>
          <w:sz w:val="21"/>
        </w:rPr>
        <w:t xml:space="preserve"> (Notice ARC 4773C,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5763C</w:t>
      </w:r>
      <w:r>
        <w:rPr>
          <w:rFonts w:ascii="Times New Roman" w:hAnsi="Times New Roman"/>
          <w:b w:val="false"/>
          <w:i w:val="false"/>
          <w:color w:val="000000"/>
          <w:sz w:val="21"/>
        </w:rPr>
        <w:t xml:space="preserve"> (Notice ARC 5506C, IAB 3/10/21)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8908C</w:t>
      </w:r>
      <w:r>
        <w:rPr>
          <w:rFonts w:ascii="Times New Roman" w:hAnsi="Times New Roman"/>
          <w:b w:val="false"/>
          <w:i w:val="false"/>
          <w:color w:val="000000"/>
          <w:sz w:val="21"/>
        </w:rPr>
        <w:t xml:space="preserve"> (Notice ARC 8672C,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p>
      <w:pPr>
        <w:spacing w:before="0" w:after="0"/>
        <w:ind w:left="120"/>
        <w:jc w:val="center"/>
      </w:pPr>
      <w:r>
        <w:rPr>
          <w:rFonts w:ascii="Times New Roman" w:hAnsi="Times New Roman"/>
          <w:b w:val="false"/>
          <w:i w:val="false"/>
          <w:color w:val="000000"/>
          <w:sz w:val="21"/>
        </w:rPr>
        <w:t>[Filed ARC 0595D</w:t>
      </w:r>
      <w:r>
        <w:rPr>
          <w:rFonts w:ascii="Times New Roman" w:hAnsi="Times New Roman"/>
          <w:b w:val="false"/>
          <w:i w:val="false"/>
          <w:color w:val="000000"/>
          <w:sz w:val="21"/>
        </w:rPr>
        <w:t xml:space="preserve"> (Notice ARC 0447D, IAB 7/22/26)</w:t>
      </w:r>
      <w:r>
        <w:rPr>
          <w:rFonts w:ascii="Times New Roman" w:hAnsi="Times New Roman"/>
          <w:b w:val="false"/>
          <w:i w:val="false"/>
          <w:color w:val="000000"/>
          <w:sz w:val="21"/>
        </w:rPr>
        <w:t>, IAB 9/16/26, effective 10/21/26]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0.5.pdf" Type="http://schemas.openxmlformats.org/officeDocument/2006/relationships/hyperlink" Id="rId5"/>
    <Relationship TargetMode="External" Target="https://www.legis.iowa.gov/docs/iac/rule/481.470.7.pdf" Type="http://schemas.openxmlformats.org/officeDocument/2006/relationships/hyperlink" Id="rId6"/>
    <Relationship TargetMode="External" Target="https://www.legis.iowa.gov/docs/iac/rule/481.470.5.pdf" Type="http://schemas.openxmlformats.org/officeDocument/2006/relationships/hyperlink" Id="rId7"/>
    <Relationship TargetMode="External" Target="https://www.legis.iowa.gov/docs/iac/rule/481.470.5.pdf" Type="http://schemas.openxmlformats.org/officeDocument/2006/relationships/hyperlink" Id="rId8"/>
    <Relationship TargetMode="External" Target="https://www.legis.iowa.gov/docs/iac/rule/481.470.5.pdf" Type="http://schemas.openxmlformats.org/officeDocument/2006/relationships/hyperlink" Id="rId9"/>
    <Relationship TargetMode="External" Target="https://www.legis.iowa.gov/docs/iac/rule/481.470.5.pdf" Type="http://schemas.openxmlformats.org/officeDocument/2006/relationships/hyperlink" Id="rId10"/>
    <Relationship TargetMode="External" Target="https://www.legis.iowa.gov/docs/iac/rule/481.470.5.pdf" Type="http://schemas.openxmlformats.org/officeDocument/2006/relationships/hyperlink" Id="rId11"/>
    <Relationship TargetMode="External" Target="https://www.legis.iowa.gov/docs/iac/rule/481.470.5.pdf" Type="http://schemas.openxmlformats.org/officeDocument/2006/relationships/hyperlink" Id="rId12"/>
    <Relationship TargetMode="External" Target="https://www.legis.iowa.gov/docs/ico/chapter/10A.903.pdf" Type="http://schemas.openxmlformats.org/officeDocument/2006/relationships/hyperlink" Id="rId13"/>
    <Relationship TargetMode="External" Target="https://www.legis.iowa.gov/docs/iac/rule/481.470.6.pdf" Type="http://schemas.openxmlformats.org/officeDocument/2006/relationships/hyperlink" Id="rId14"/>
    <Relationship TargetMode="External" Target="https://www.legis.iowa.gov/docs/iac/rule/481.470.5.pdf" Type="http://schemas.openxmlformats.org/officeDocument/2006/relationships/hyperlink" Id="rId15"/>
    <Relationship TargetMode="External" Target="https://www.legis.iowa.gov/docs/iac/rule/641.70.4.pdf" Type="http://schemas.openxmlformats.org/officeDocument/2006/relationships/hyperlink" Id="rId16"/>
    <Relationship TargetMode="External" Target="https://www.legis.iowa.gov/docs/iac/rule/481.470.4.pdf" Type="http://schemas.openxmlformats.org/officeDocument/2006/relationships/hyperlink" Id="rId17"/>
    <Relationship TargetMode="External" Target="https://www.legis.iowa.gov/docs/iac/rule/481.470.6.pdf" Type="http://schemas.openxmlformats.org/officeDocument/2006/relationships/hyperlink" Id="rId18"/>
    <Relationship TargetMode="External" Target="https://www.legis.iowa.gov/docs/iac/rule/481.470.4.pdf" Type="http://schemas.openxmlformats.org/officeDocument/2006/relationships/hyperlink" Id="rId19"/>
    <Relationship TargetMode="External" Target="https://www.legis.iowa.gov/docs/iac/rule/481.470.4.pdf" Type="http://schemas.openxmlformats.org/officeDocument/2006/relationships/hyperlink" Id="rId20"/>
    <Relationship TargetMode="External" Target="https://www.legis.iowa.gov/docs/iac/chapter/481.469.pdf" Type="http://schemas.openxmlformats.org/officeDocument/2006/relationships/hyperlink" Id="rId21"/>
    <Relationship TargetMode="External" Target="https://www.legis.iowa.gov/docs/iac/rule/481.470.4.pdf" Type="http://schemas.openxmlformats.org/officeDocument/2006/relationships/hyperlink" Id="rId22"/>
    <Relationship TargetMode="External" Target="https://www.legis.iowa.gov/docs/iac/rule/481.470.4.pdf" Type="http://schemas.openxmlformats.org/officeDocument/2006/relationships/hyperlink" Id="rId23"/>
    <Relationship TargetMode="External" Target="https://www.legis.iowa.gov/docs/iac/rule/481.470.4.pdf" Type="http://schemas.openxmlformats.org/officeDocument/2006/relationships/hyperlink" Id="rId24"/>
    <Relationship TargetMode="External" Target="https://www.legis.iowa.gov/docs/iac/rule/481.470.6.pdf" Type="http://schemas.openxmlformats.org/officeDocument/2006/relationships/hyperlink" Id="rId25"/>
    <Relationship TargetMode="External" Target="https://www.legis.iowa.gov/docs/iac/rule/481.470.5.pdf" Type="http://schemas.openxmlformats.org/officeDocument/2006/relationships/hyperlink" Id="rId26"/>
    <Relationship TargetMode="External" Target="https://www.legis.iowa.gov/docs/iac/rule/481.470.5.pdf" Type="http://schemas.openxmlformats.org/officeDocument/2006/relationships/hyperlink" Id="rId27"/>
    <Relationship TargetMode="External" Target="https://www.legis.iowa.gov/docs/iac/rule/481.470.4.pdf" Type="http://schemas.openxmlformats.org/officeDocument/2006/relationships/hyperlink" Id="rId28"/>
    <Relationship TargetMode="External" Target="https://www.legis.iowa.gov/docs/iac/rule/481.470.4.pdf" Type="http://schemas.openxmlformats.org/officeDocument/2006/relationships/hyperlink" Id="rId29"/>
    <Relationship TargetMode="External" Target="https://www.legis.iowa.gov/docs/iac/rule/481.470.4.pdf" Type="http://schemas.openxmlformats.org/officeDocument/2006/relationships/hyperlink" Id="rId30"/>
    <Relationship TargetMode="External" Target="https://www.legis.iowa.gov/docs/iac/rule/481.470.4.pdf" Type="http://schemas.openxmlformats.org/officeDocument/2006/relationships/hyperlink" Id="rId31"/>
    <Relationship TargetMode="External" Target="https://www.legis.iowa.gov/docs/iac/rule/481.470.4.pdf" Type="http://schemas.openxmlformats.org/officeDocument/2006/relationships/hyperlink" Id="rId32"/>
    <Relationship TargetMode="External" Target="https://www.legis.iowa.gov/docs/iac/rule/481.470.5.pdf" Type="http://schemas.openxmlformats.org/officeDocument/2006/relationships/hyperlink" Id="rId33"/>
    <Relationship TargetMode="External" Target="https://www.legis.iowa.gov/docs/iac/rule/481.470.5.pdf" Type="http://schemas.openxmlformats.org/officeDocument/2006/relationships/hyperlink" Id="rId34"/>
    <Relationship TargetMode="External" Target="https://www.legis.iowa.gov/docs/iac/rule/481.470.5.pdf" Type="http://schemas.openxmlformats.org/officeDocument/2006/relationships/hyperlink" Id="rId35"/>
    <Relationship TargetMode="External" Target="https://www.legis.iowa.gov/docs/iac/rule/481.470.5.pdf" Type="http://schemas.openxmlformats.org/officeDocument/2006/relationships/hyperlink" Id="rId36"/>
    <Relationship TargetMode="External" Target="https://www.legis.iowa.gov/docs/iac/rule/481.470.5.pdf" Type="http://schemas.openxmlformats.org/officeDocument/2006/relationships/hyperlink" Id="rId37"/>
    <Relationship TargetMode="External" Target="https://www.legis.iowa.gov/docs/ico/chapter/272C.15.pdf" Type="http://schemas.openxmlformats.org/officeDocument/2006/relationships/hyperlink" Id="rId38"/>
    <Relationship TargetMode="External" Target="https://www.legis.iowa.gov/docs/iac/chapter/7.2506.pdf" Type="http://schemas.openxmlformats.org/officeDocument/2006/relationships/hyperlink" Id="rId39"/>
    <Relationship TargetMode="External" Target="https://www.legis.iowa.gov/docs/iac/chapter/481.10.pdf" Type="http://schemas.openxmlformats.org/officeDocument/2006/relationships/hyperlink" Id="rId40"/>
    <Relationship TargetMode="External" Target="https://www.legis.iowa.gov/docs/iac/rule/481.470.5.pdf" Type="http://schemas.openxmlformats.org/officeDocument/2006/relationships/hyperlink" Id="rId41"/>
    <Relationship TargetMode="External" Target="https://www.legis.iowa.gov/docs/ico/chapter/622.1.pdf" Type="http://schemas.openxmlformats.org/officeDocument/2006/relationships/hyperlink" Id="rId42"/>
    <Relationship TargetMode="External" Target="https://www.legis.iowa.gov/docs/iac/chapter/641.7.pdf" Type="http://schemas.openxmlformats.org/officeDocument/2006/relationships/hyperlink" Id="rId43"/>
    <Relationship TargetMode="External" Target="https://www.legis.iowa.gov/docs/iac/chapter/481.469.pdf" Type="http://schemas.openxmlformats.org/officeDocument/2006/relationships/hyperlink" Id="rId44"/>
    <Relationship TargetMode="External" Target="https://www.legis.iowa.gov/docs/iac/chapter/481.470.pdf" Type="http://schemas.openxmlformats.org/officeDocument/2006/relationships/hyperlink" Id="rId45"/>
    <Relationship TargetMode="External" Target="https://www.legis.iowa.gov/docs/iac/rule/481.470.3.pdf" Type="http://schemas.openxmlformats.org/officeDocument/2006/relationships/hyperlink" Id="rId46"/>
    <Relationship TargetMode="External" Target="https://www.legis.iowa.gov/docs/ico/chapter/622.1.pdf" Type="http://schemas.openxmlformats.org/officeDocument/2006/relationships/hyperlink" Id="rId47"/>
    <Relationship TargetMode="External" Target="https://www.legis.iowa.gov/docs/iac/chapter/641.7.pdf" Type="http://schemas.openxmlformats.org/officeDocument/2006/relationships/hyperlink" Id="rId48"/>
    <Relationship TargetMode="External" Target="https://www.legis.iowa.gov/docs/iac/chapter/481.469.pdf" Type="http://schemas.openxmlformats.org/officeDocument/2006/relationships/hyperlink" Id="rId49"/>
    <Relationship TargetMode="External" Target="https://www.legis.iowa.gov/docs/iac/chapter/481.470.pdf" Type="http://schemas.openxmlformats.org/officeDocument/2006/relationships/hyperlink" Id="rId50"/>
    <Relationship TargetMode="External" Target="https://www.legis.iowa.gov/docs/iac/rule/481.470.6.pdf" Type="http://schemas.openxmlformats.org/officeDocument/2006/relationships/hyperlink" Id="rId51"/>
    <Relationship TargetMode="External" Target="https://www.legis.iowa.gov/docs/iac/chapter/481.469.pdf" Type="http://schemas.openxmlformats.org/officeDocument/2006/relationships/hyperlink" Id="rId52"/>
    <Relationship TargetMode="External" Target="https://www.legis.iowa.gov/docs/iac/chapter/481.470.pdf" Type="http://schemas.openxmlformats.org/officeDocument/2006/relationships/hyperlink" Id="rId53"/>
    <Relationship TargetMode="External" Target="https://www.legis.iowa.gov/docs/iac/rule/481.470.6.pdf" Type="http://schemas.openxmlformats.org/officeDocument/2006/relationships/hyperlink" Id="rId54"/>
    <Relationship TargetMode="External" Target="https://www.legis.iowa.gov/docs/iac/chapter/481.469.pdf" Type="http://schemas.openxmlformats.org/officeDocument/2006/relationships/hyperlink" Id="rId55"/>
    <Relationship TargetMode="External" Target="https://www.legis.iowa.gov/docs/iac/chapter/481.470.pdf" Type="http://schemas.openxmlformats.org/officeDocument/2006/relationships/hyperlink" Id="rId56"/>
    <Relationship TargetMode="External" Target="https://www.legis.iowa.gov/docs/iac/rule/481.470.6.pdf" Type="http://schemas.openxmlformats.org/officeDocument/2006/relationships/hyperlink" Id="rId57"/>
    <Relationship TargetMode="External" Target="https://www.legis.iowa.gov/docs/iac/rule/481.470.6.pdf" Type="http://schemas.openxmlformats.org/officeDocument/2006/relationships/hyperlink" Id="rId58"/>
    <Relationship TargetMode="External" Target="https://www.legis.iowa.gov/docs/iac/chapter/481.469.pdf" Type="http://schemas.openxmlformats.org/officeDocument/2006/relationships/hyperlink" Id="rId59"/>
    <Relationship TargetMode="External" Target="https://www.legis.iowa.gov/docs/iac/chapter/481.470.pdf" Type="http://schemas.openxmlformats.org/officeDocument/2006/relationships/hyperlink" Id="rId60"/>
    <Relationship TargetMode="External" Target="https://www.legis.iowa.gov/docs/iac/rule/481.470.6.pdf" Type="http://schemas.openxmlformats.org/officeDocument/2006/relationships/hyperlink" Id="rId61"/>
    <Relationship TargetMode="External" Target="https://www.legis.iowa.gov/docs/iac/rule/481.470.6.pdf" Type="http://schemas.openxmlformats.org/officeDocument/2006/relationships/hyperlink" Id="rId62"/>
    <Relationship TargetMode="External" Target="https://www.legis.iowa.gov/docs/iac/rule/481.470.6.pdf" Type="http://schemas.openxmlformats.org/officeDocument/2006/relationships/hyperlink" Id="rId63"/>
    <Relationship TargetMode="External" Target="https://www.legis.iowa.gov/docs/iac/chapter/481.469.pdf" Type="http://schemas.openxmlformats.org/officeDocument/2006/relationships/hyperlink" Id="rId64"/>
    <Relationship TargetMode="External" Target="https://www.legis.iowa.gov/docs/iac/chapter/481.470.pdf" Type="http://schemas.openxmlformats.org/officeDocument/2006/relationships/hyperlink" Id="rId65"/>
    <Relationship TargetMode="External" Target="https://www.legis.iowa.gov/docs/iac/rule/481.470.6.pdf" Type="http://schemas.openxmlformats.org/officeDocument/2006/relationships/hyperlink" Id="rId66"/>
    <Relationship TargetMode="External" Target="https://www.legis.iowa.gov/docs/iac/rule/481.470.3.pdf" Type="http://schemas.openxmlformats.org/officeDocument/2006/relationships/hyperlink" Id="rId67"/>
    <Relationship TargetMode="External" Target="https://www.legis.iowa.gov/docs/iac/rule/481.470.5.pdf" Type="http://schemas.openxmlformats.org/officeDocument/2006/relationships/hyperlink" Id="rId68"/>
    <Relationship TargetMode="External" Target="https://www.legis.iowa.gov/docs/iac/rule/481.470.6.pdf" Type="http://schemas.openxmlformats.org/officeDocument/2006/relationships/hyperlink" Id="rId69"/>
    <Relationship TargetMode="External" Target="https://www.legis.iowa.gov/docs/iac/rule/481.470.6.pdf" Type="http://schemas.openxmlformats.org/officeDocument/2006/relationships/hyperlink" Id="rId70"/>
    <Relationship TargetMode="External" Target="https://www.legis.iowa.gov/docs/iac/rule/481.470.6.pdf" Type="http://schemas.openxmlformats.org/officeDocument/2006/relationships/hyperlink" Id="rId71"/>
    <Relationship TargetMode="External" Target="https://www.legis.iowa.gov/docs/iac/rule/481.470.6.pdf" Type="http://schemas.openxmlformats.org/officeDocument/2006/relationships/hyperlink" Id="rId72"/>
    <Relationship TargetMode="External" Target="https://www.legis.iowa.gov/docs/iac/chapter/481.469.pdf" Type="http://schemas.openxmlformats.org/officeDocument/2006/relationships/hyperlink" Id="rId73"/>
    <Relationship TargetMode="External" Target="https://www.legis.iowa.gov/docs/iac/chapter/481.470.pdf" Type="http://schemas.openxmlformats.org/officeDocument/2006/relationships/hyperlink" Id="rId74"/>
    <Relationship TargetMode="External" Target="https://www.legis.iowa.gov/docs/iac/rule/481.470.6.pdf" Type="http://schemas.openxmlformats.org/officeDocument/2006/relationships/hyperlink" Id="rId75"/>
    <Relationship TargetMode="External" Target="https://www.legis.iowa.gov/docs/iac/chapter/481.469.pdf" Type="http://schemas.openxmlformats.org/officeDocument/2006/relationships/hyperlink" Id="rId76"/>
    <Relationship TargetMode="External" Target="https://www.legis.iowa.gov/docs/iac/chapter/481.470.pdf" Type="http://schemas.openxmlformats.org/officeDocument/2006/relationships/hyperlink" Id="rId77"/>
    <Relationship TargetMode="External" Target="https://www.legis.iowa.gov/docs/iac/rule/481.470.3.pdf" Type="http://schemas.openxmlformats.org/officeDocument/2006/relationships/hyperlink" Id="rId78"/>
    <Relationship TargetMode="External" Target="https://www.legis.iowa.gov/docs/iac/rule/481.470.6.pdf" Type="http://schemas.openxmlformats.org/officeDocument/2006/relationships/hyperlink" Id="rId79"/>
    <Relationship TargetMode="External" Target="https://www.legis.iowa.gov/docs/iac/rule/481.470.6.pdf" Type="http://schemas.openxmlformats.org/officeDocument/2006/relationships/hyperlink" Id="rId80"/>
    <Relationship TargetMode="External" Target="https://www.legis.iowa.gov/docs/iac/rule/481.470.6.pdf" Type="http://schemas.openxmlformats.org/officeDocument/2006/relationships/hyperlink" Id="rId81"/>
    <Relationship TargetMode="External" Target="https://www.legis.iowa.gov/docs/iac/chapter/481.469.pdf" Type="http://schemas.openxmlformats.org/officeDocument/2006/relationships/hyperlink" Id="rId82"/>
    <Relationship TargetMode="External" Target="https://www.legis.iowa.gov/docs/iac/chapter/481.470.pdf" Type="http://schemas.openxmlformats.org/officeDocument/2006/relationships/hyperlink" Id="rId83"/>
    <Relationship TargetMode="External" Target="https://www.legis.iowa.gov/docs/iac/rule/481.470.6.pdf" Type="http://schemas.openxmlformats.org/officeDocument/2006/relationships/hyperlink" Id="rId84"/>
    <Relationship TargetMode="External" Target="https://www.legis.iowa.gov/docs/iac/rule/481.470.6.pdf" Type="http://schemas.openxmlformats.org/officeDocument/2006/relationships/hyperlink" Id="rId85"/>
    <Relationship TargetMode="External" Target="https://www.legis.iowa.gov/docs/iac/rule/481.470.6.pdf" Type="http://schemas.openxmlformats.org/officeDocument/2006/relationships/hyperlink" Id="rId86"/>
    <Relationship TargetMode="External" Target="https://www.legis.iowa.gov/docs/iac/chapter/481.469.pdf" Type="http://schemas.openxmlformats.org/officeDocument/2006/relationships/hyperlink" Id="rId87"/>
    <Relationship TargetMode="External" Target="https://www.legis.iowa.gov/docs/iac/chapter/481.470.pdf" Type="http://schemas.openxmlformats.org/officeDocument/2006/relationships/hyperlink" Id="rId88"/>
    <Relationship TargetMode="External" Target="https://www.legis.iowa.gov/docs/iac/rule/481.470.6.pdf" Type="http://schemas.openxmlformats.org/officeDocument/2006/relationships/hyperlink" Id="rId89"/>
    <Relationship TargetMode="External" Target="https://www.legis.iowa.gov/docs/iac/rule/481.470.6.pdf" Type="http://schemas.openxmlformats.org/officeDocument/2006/relationships/hyperlink" Id="rId90"/>
    <Relationship TargetMode="External" Target="https://www.legis.iowa.gov/docs/iac/rule/481.470.6.pdf" Type="http://schemas.openxmlformats.org/officeDocument/2006/relationships/hyperlink" Id="rId91"/>
    <Relationship TargetMode="External" Target="https://www.legis.iowa.gov/docs/iac/chapter/481.469.pdf" Type="http://schemas.openxmlformats.org/officeDocument/2006/relationships/hyperlink" Id="rId92"/>
    <Relationship TargetMode="External" Target="https://www.legis.iowa.gov/docs/iac/chapter/481.470.pdf" Type="http://schemas.openxmlformats.org/officeDocument/2006/relationships/hyperlink" Id="rId93"/>
    <Relationship TargetMode="External" Target="https://www.legis.iowa.gov/docs/iac/rule/481.470.6.pdf" Type="http://schemas.openxmlformats.org/officeDocument/2006/relationships/hyperlink" Id="rId94"/>
    <Relationship TargetMode="External" Target="https://www.legis.iowa.gov/docs/iac/rule/481.470.6.pdf" Type="http://schemas.openxmlformats.org/officeDocument/2006/relationships/hyperlink" Id="rId95"/>
    <Relationship TargetMode="External" Target="https://www.legis.iowa.gov/docs/iac/rule/481.470.6.pdf" Type="http://schemas.openxmlformats.org/officeDocument/2006/relationships/hyperlink" Id="rId96"/>
    <Relationship TargetMode="External" Target="https://www.legis.iowa.gov/docs/iac/rule/481.470.6.pdf" Type="http://schemas.openxmlformats.org/officeDocument/2006/relationships/hyperlink" Id="rId97"/>
    <Relationship TargetMode="External" Target="https://www.legis.iowa.gov/docs/iac/rule/481.470.6.pdf" Type="http://schemas.openxmlformats.org/officeDocument/2006/relationships/hyperlink" Id="rId98"/>
    <Relationship TargetMode="External" Target="https://www.legis.iowa.gov/docs/iac/rule/481.470.6.pdf" Type="http://schemas.openxmlformats.org/officeDocument/2006/relationships/hyperlink" Id="rId99"/>
    <Relationship TargetMode="External" Target="https://www.legis.iowa.gov/docs/iac/rule/481.470.6.pdf" Type="http://schemas.openxmlformats.org/officeDocument/2006/relationships/hyperlink" Id="rId100"/>
    <Relationship TargetMode="External" Target="https://www.legis.iowa.gov/docs/iac/rule/641.470.6.pdf" Type="http://schemas.openxmlformats.org/officeDocument/2006/relationships/hyperlink" Id="rId101"/>
    <Relationship TargetMode="External" Target="https://www.legis.iowa.gov/docs/iac/chapter/481.469.pdf" Type="http://schemas.openxmlformats.org/officeDocument/2006/relationships/hyperlink" Id="rId102"/>
    <Relationship TargetMode="External" Target="https://www.legis.iowa.gov/docs/iac/rule/481.470.6.pdf" Type="http://schemas.openxmlformats.org/officeDocument/2006/relationships/hyperlink" Id="rId103"/>
    <Relationship TargetMode="External" Target="https://www.legis.iowa.gov/docs/iac/chapter/481.469.pdf" Type="http://schemas.openxmlformats.org/officeDocument/2006/relationships/hyperlink" Id="rId104"/>
    <Relationship TargetMode="External" Target="https://www.legis.iowa.gov/docs/iac/chapter/481.470.pdf" Type="http://schemas.openxmlformats.org/officeDocument/2006/relationships/hyperlink" Id="rId105"/>
    <Relationship TargetMode="External" Target="https://www.legis.iowa.gov/docs/iac/rule/481.470.2.pdf" Type="http://schemas.openxmlformats.org/officeDocument/2006/relationships/hyperlink" Id="rId106"/>
    <Relationship TargetMode="External" Target="https://www.legis.iowa.gov/docs/iac/rule/481.470.6.pdf" Type="http://schemas.openxmlformats.org/officeDocument/2006/relationships/hyperlink" Id="rId107"/>
    <Relationship TargetMode="External" Target="https://www.legis.iowa.gov/docs/iac/rule/481.470.6.pdf" Type="http://schemas.openxmlformats.org/officeDocument/2006/relationships/hyperlink" Id="rId108"/>
    <Relationship TargetMode="External" Target="https://www.legis.iowa.gov/docs/iac/rule/481.470.6.pdf" Type="http://schemas.openxmlformats.org/officeDocument/2006/relationships/hyperlink" Id="rId109"/>
    <Relationship TargetMode="External" Target="https://www.legis.iowa.gov/docs/iac/rule/481.470.6.pdf" Type="http://schemas.openxmlformats.org/officeDocument/2006/relationships/hyperlink" Id="rId110"/>
    <Relationship TargetMode="External" Target="https://www.legis.iowa.gov/docs/iac/rule/481.470.6.pdf" Type="http://schemas.openxmlformats.org/officeDocument/2006/relationships/hyperlink" Id="rId111"/>
    <Relationship TargetMode="External" Target="https://www.legis.iowa.gov/docs/iac/rule/481.470.6.pdf" Type="http://schemas.openxmlformats.org/officeDocument/2006/relationships/hyperlink" Id="rId112"/>
    <Relationship TargetMode="External" Target="https://www.legis.iowa.gov/docs/iac/rule/481.470.6.pdf" Type="http://schemas.openxmlformats.org/officeDocument/2006/relationships/hyperlink" Id="rId113"/>
    <Relationship TargetMode="External" Target="https://www.legis.iowa.gov/docs/iac/rule/481.470.6.pdf" Type="http://schemas.openxmlformats.org/officeDocument/2006/relationships/hyperlink" Id="rId114"/>
    <Relationship TargetMode="External" Target="https://www.legis.iowa.gov/docs/iac/rule/481.470.6.pdf" Type="http://schemas.openxmlformats.org/officeDocument/2006/relationships/hyperlink" Id="rId115"/>
    <Relationship TargetMode="External" Target="https://www.legis.iowa.gov/docs/iac/rule/481.470.6.pdf" Type="http://schemas.openxmlformats.org/officeDocument/2006/relationships/hyperlink" Id="rId116"/>
    <Relationship TargetMode="External" Target="https://www.legis.iowa.gov/docs/iac/rule/481.470.6.pdf" Type="http://schemas.openxmlformats.org/officeDocument/2006/relationships/hyperlink" Id="rId117"/>
    <Relationship TargetMode="External" Target="https://www.legis.iowa.gov/docs/iac/rule/481.470.6.pdf" Type="http://schemas.openxmlformats.org/officeDocument/2006/relationships/hyperlink" Id="rId118"/>
    <Relationship TargetMode="External" Target="https://www.legis.iowa.gov/docs/iac/rule/481.470.6.pdf" Type="http://schemas.openxmlformats.org/officeDocument/2006/relationships/hyperlink" Id="rId119"/>
    <Relationship TargetMode="External" Target="https://www.legis.iowa.gov/docs/iac/rule/481.470.6.pdf" Type="http://schemas.openxmlformats.org/officeDocument/2006/relationships/hyperlink" Id="rId120"/>
    <Relationship TargetMode="External" Target="https://www.legis.iowa.gov/docs/iac/rule/481.470.6.pdf" Type="http://schemas.openxmlformats.org/officeDocument/2006/relationships/hyperlink" Id="rId121"/>
    <Relationship TargetMode="External" Target="https://www.legis.iowa.gov/docs/iac/rule/481.470.6.pdf" Type="http://schemas.openxmlformats.org/officeDocument/2006/relationships/hyperlink" Id="rId122"/>
    <Relationship TargetMode="External" Target="https://www.legis.iowa.gov/docs/iac/rule/481.470.6.pdf" Type="http://schemas.openxmlformats.org/officeDocument/2006/relationships/hyperlink" Id="rId123"/>
    <Relationship TargetMode="External" Target="https://www.legis.iowa.gov/docs/iac/rule/481.470.6.pdf" Type="http://schemas.openxmlformats.org/officeDocument/2006/relationships/hyperlink" Id="rId124"/>
    <Relationship TargetMode="External" Target="https://www.legis.iowa.gov/docs/iac/rule/481.470.6.pdf" Type="http://schemas.openxmlformats.org/officeDocument/2006/relationships/hyperlink" Id="rId125"/>
    <Relationship TargetMode="External" Target="https://www.legis.iowa.gov/docs/iac/rule/481.470.6.pdf" Type="http://schemas.openxmlformats.org/officeDocument/2006/relationships/hyperlink" Id="rId126"/>
    <Relationship TargetMode="External" Target="https://www.legis.iowa.gov/docs/ico/chapter/10A.pdf" Type="http://schemas.openxmlformats.org/officeDocument/2006/relationships/hyperlink" Id="rId127"/>
    <Relationship TargetMode="External" Target="https://www.legis.iowa.gov/docs/iac/rule/481.470.3.pdf" Type="http://schemas.openxmlformats.org/officeDocument/2006/relationships/hyperlink" Id="rId128"/>
    <Relationship TargetMode="External" Target="https://www.legis.iowa.gov/docs/iac/rule/481.470.7.pdf" Type="http://schemas.openxmlformats.org/officeDocument/2006/relationships/hyperlink" Id="rId129"/>
    <Relationship TargetMode="External" Target="https://www.legis.iowa.gov/docs/iac/rule/481.470.9.pdf" Type="http://schemas.openxmlformats.org/officeDocument/2006/relationships/hyperlink" Id="rId130"/>
    <Relationship TargetMode="External" Target="https://www.legis.iowa.gov/docs/iac/rule/481.470.6.pdf" Type="http://schemas.openxmlformats.org/officeDocument/2006/relationships/hyperlink" Id="rId131"/>
    <Relationship TargetMode="External" Target="https://www.legis.iowa.gov/docs/iac/rule/481.470.4.pdf" Type="http://schemas.openxmlformats.org/officeDocument/2006/relationships/hyperlink" Id="rId132"/>
    <Relationship TargetMode="External" Target="https://www.legis.iowa.gov/docs/ico/chapter/10A.902.pdf" Type="http://schemas.openxmlformats.org/officeDocument/2006/relationships/hyperlink" Id="rId133"/>
    <Relationship TargetMode="External" Target="https://www.legis.iowa.gov/docs/iac/rule/481.470.10.pdf" Type="http://schemas.openxmlformats.org/officeDocument/2006/relationships/hyperlink" Id="rId134"/>
    <Relationship TargetMode="External" Target="https://www.legis.iowa.gov/docs/iac/rule/481.470.10.pdf" Type="http://schemas.openxmlformats.org/officeDocument/2006/relationships/hyperlink" Id="rId135"/>
    <Relationship TargetMode="External" Target="https://www.legis.iowa.gov/docs/iac/chapter/7.2506.pdf" Type="http://schemas.openxmlformats.org/officeDocument/2006/relationships/hyperlink" Id="rId136"/>
    <Relationship TargetMode="External" Target="https://www.legis.iowa.gov/docs/iac/chapter/481.10.pdf" Type="http://schemas.openxmlformats.org/officeDocument/2006/relationships/hyperlink" Id="rId137"/>
    <Relationship TargetMode="External" Target="https://www.legis.iowa.gov/docs/iac/chapter/7.2504.pdf" Type="http://schemas.openxmlformats.org/officeDocument/2006/relationships/hyperlink" Id="rId138"/>
    <Relationship TargetMode="External" Target="https://www.legis.iowa.gov/docs/ico/chapter/10A.902.pdf" Type="http://schemas.openxmlformats.org/officeDocument/2006/relationships/hyperlink" Id="rId139"/>
    <Relationship TargetMode="External" Target="https://www.legis.iowa.gov/docs/ico/chapter/272C.4.pdf" Type="http://schemas.openxmlformats.org/officeDocument/2006/relationships/hyperlink" Id="rId140"/>
    <Relationship TargetMode="External" Target="https://www.legis.iowa.gov/docs/ico/chapter/272C.12.pdf" Type="http://schemas.openxmlformats.org/officeDocument/2006/relationships/hyperlink" Id="rId141"/>
    <Relationship Target="footer.xml" Type="http://schemas.openxmlformats.org/officeDocument/2006/relationships/footer" Id="rId1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