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432</w:t>
      </w:r>
    </w:p>
    <w:p>
      <w:pPr>
        <w:spacing w:before="0" w:after="0"/>
        <w:ind w:left="120"/>
        <w:jc w:val="center"/>
      </w:pPr>
      <w:r>
        <w:rPr>
          <w:rFonts w:ascii="Times New Roman" w:hAnsi="Times New Roman"/>
          <w:b w:val="false"/>
          <w:i w:val="false"/>
          <w:color w:val="000000"/>
          <w:sz w:val="21"/>
        </w:rPr>
        <w:t>CONTINUING EDUCATION FOR PLUMBING AND</w:t>
      </w:r>
      <w:r>
        <w:br/>
      </w:r>
      <w:r>
        <w:rPr>
          <w:rFonts w:ascii="Times New Roman" w:hAnsi="Times New Roman"/>
          <w:b w:val="false"/>
          <w:i w:val="false"/>
          <w:color w:val="000000"/>
          <w:sz w:val="21"/>
        </w:rPr>
        <w:t>MECHANICAL SYSTEMS PROFESSIONALS</w:t>
      </w:r>
    </w:p>
    <w:p>
      <w:pPr>
        <w:spacing w:before="0" w:after="0"/>
        <w:ind w:left="120"/>
        <w:jc w:val="center"/>
      </w:pPr>
      <w:r>
        <w:rPr>
          <w:rFonts w:ascii="Times New Roman" w:hAnsi="Times New Roman"/>
          <w:b w:val="false"/>
          <w:i w:val="false"/>
          <w:color w:val="000000"/>
          <w:sz w:val="20"/>
        </w:rPr>
        <w:t>[Prior to 4/2/25, see Public Health Department[641] Ch 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481—432.1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“Compliance review”</w:t>
      </w:r>
      <w:r>
        <w:rPr>
          <w:rFonts w:ascii="Times New Roman" w:hAnsi="Times New Roman"/>
          <w:b w:val="false"/>
          <w:i w:val="false"/>
          <w:color w:val="000000"/>
          <w:sz w:val="22"/>
        </w:rPr>
        <w:t> </w:t>
      </w:r>
      <w:r>
        <w:rPr>
          <w:rFonts w:ascii="Times New Roman" w:hAnsi="Times New Roman"/>
          <w:b w:val="false"/>
          <w:i w:val="false"/>
          <w:color w:val="000000"/>
          <w:sz w:val="22"/>
        </w:rPr>
        <w:t>means the selection by the board of licensees for verification of satisfactory completion of continuing education requirements during a specified continuing education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acquired during licensure designed to maintain, improve, or expand a licensee’s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compliance period”</w:t>
      </w:r>
      <w:r>
        <w:rPr>
          <w:rFonts w:ascii="Times New Roman" w:hAnsi="Times New Roman"/>
          <w:b w:val="false"/>
          <w:i w:val="false"/>
          <w:color w:val="000000"/>
          <w:sz w:val="22"/>
        </w:rPr>
        <w:t> </w:t>
      </w:r>
      <w:r>
        <w:rPr>
          <w:rFonts w:ascii="Times New Roman" w:hAnsi="Times New Roman"/>
          <w:b w:val="false"/>
          <w:i w:val="false"/>
          <w:color w:val="000000"/>
          <w:sz w:val="22"/>
        </w:rPr>
        <w:t>means the period between renewals during which a licensee must obtain the requisite amount of continuing education in order to renew the licensee’s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in one sitting by a licensee in actual attendance at and in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mechanical code”</w:t>
      </w:r>
      <w:r>
        <w:rPr>
          <w:rFonts w:ascii="Times New Roman" w:hAnsi="Times New Roman"/>
          <w:b w:val="false"/>
          <w:i w:val="false"/>
          <w:color w:val="000000"/>
          <w:sz w:val="22"/>
        </w:rPr>
        <w:t> </w:t>
      </w:r>
      <w:r>
        <w:rPr>
          <w:rFonts w:ascii="Times New Roman" w:hAnsi="Times New Roman"/>
          <w:b w:val="false"/>
          <w:i w:val="false"/>
          <w:color w:val="000000"/>
          <w:sz w:val="22"/>
        </w:rPr>
        <w:t>means the most current version of the International Mechanical Code, as adopted and amended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plumbing code”</w:t>
      </w:r>
      <w:r>
        <w:rPr>
          <w:rFonts w:ascii="Times New Roman" w:hAnsi="Times New Roman"/>
          <w:b w:val="false"/>
          <w:i w:val="false"/>
          <w:color w:val="000000"/>
          <w:sz w:val="22"/>
        </w:rPr>
        <w:t> </w:t>
      </w:r>
      <w:r>
        <w:rPr>
          <w:rFonts w:ascii="Times New Roman" w:hAnsi="Times New Roman"/>
          <w:b w:val="false"/>
          <w:i w:val="false"/>
          <w:color w:val="000000"/>
          <w:sz w:val="22"/>
        </w:rPr>
        <w:t>means the most current version of the Uniform Plumbing Code, as adopted and amended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to practice pursuant to Iowa Code chapter </w:t>
      </w:r>
      <w:hyperlink r:id="rId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licensed to work in a specific discipline covered under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481—432.2</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compliance period begins on the license issue date and ends on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432.2(2)</w:t>
      </w:r>
      <w:r>
        <w:rPr>
          <w:rFonts w:ascii="Times New Roman" w:hAnsi="Times New Roman"/>
          <w:b w:val="false"/>
          <w:i w:val="false"/>
          <w:color w:val="000000"/>
          <w:sz w:val="22"/>
        </w:rPr>
        <w:t> </w:t>
      </w:r>
      <w:r>
        <w:rPr>
          <w:rFonts w:ascii="Times New Roman" w:hAnsi="Times New Roman"/>
          <w:b w:val="false"/>
          <w:i w:val="false"/>
          <w:color w:val="000000"/>
          <w:sz w:val="22"/>
        </w:rPr>
        <w:t>During each continuing education compliance period, each active or inactive master and journeyperson licensee shall obtain the following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education. Two hours of continuing education in the content area of the Iowa occupational safety and health Act if holding a single license and four hours if holding multiple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Code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hours of continuing education in the content area of the Iowa mechanical code if holding one or more licenses or sublicenses in a mechanical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hours of continuing education in the content area of the Iowa plumbing code if holding a plumbing license or sublicense.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Discipline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hours of continuing education in the discipline in which the licensee holds a license if the licensee holds a single plumbing license or sublicense, or a single license or sublicense in a mechanical discipline.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 hours of continuing education in the relevant disciplines if holding multiple licenses or sublicenses.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school or college maintenance specialty license. For the purposes of this subrule, a private school or college routine maintenance specialty license is considered to be a sublicense of whatever discipline(s) in which the licensee actually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possessing one or more inactive special restricted licenses under </w:t>
      </w:r>
      <w:hyperlink r:id="rId8">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 xml:space="preserve"> does not have to complete any continuing education hours for the special restricted license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432.2(3)</w:t>
      </w:r>
      <w:r>
        <w:rPr>
          <w:rFonts w:ascii="Times New Roman" w:hAnsi="Times New Roman"/>
          <w:b w:val="false"/>
          <w:i w:val="false"/>
          <w:color w:val="000000"/>
          <w:sz w:val="22"/>
        </w:rPr>
        <w:t> </w:t>
      </w:r>
      <w:r>
        <w:rPr>
          <w:rFonts w:ascii="Times New Roman" w:hAnsi="Times New Roman"/>
          <w:b w:val="false"/>
          <w:i w:val="false"/>
          <w:color w:val="000000"/>
          <w:sz w:val="22"/>
        </w:rPr>
        <w:t xml:space="preserve">For up to one-half of board-approved continuing education mandated by subrule </w:t>
      </w:r>
      <w:hyperlink r:id="rId9">
        <w:r>
          <w:rPr>
            <w:rStyle w:val="Hyperlink"/>
            <w:rFonts w:ascii="Times New Roman" w:hAnsi="Times New Roman"/>
            <w:b w:val="false"/>
            <w:i w:val="false"/>
            <w:color w:val="000000"/>
            <w:sz w:val="22"/>
          </w:rPr>
          <w:t>432.2(2)</w:t>
        </w:r>
      </w:hyperlink>
      <w:r>
        <w:rPr>
          <w:rFonts w:ascii="Times New Roman" w:hAnsi="Times New Roman"/>
          <w:b w:val="false"/>
          <w:i w:val="false"/>
          <w:color w:val="000000"/>
          <w:sz w:val="22"/>
        </w:rPr>
        <w:t>, each continuing education compliance period may be obtained through completion of computer-based, including online, continuing education programs/activities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432.2(4)</w:t>
      </w:r>
      <w:r>
        <w:rPr>
          <w:rFonts w:ascii="Times New Roman" w:hAnsi="Times New Roman"/>
          <w:b w:val="false"/>
          <w:i w:val="false"/>
          <w:color w:val="000000"/>
          <w:sz w:val="22"/>
        </w:rPr>
        <w:t> </w:t>
      </w:r>
      <w:r>
        <w:rPr>
          <w:rFonts w:ascii="Times New Roman" w:hAnsi="Times New Roman"/>
          <w:b w:val="false"/>
          <w:i w:val="false"/>
          <w:color w:val="000000"/>
          <w:sz w:val="22"/>
        </w:rPr>
        <w:t>It is each licensee’s responsibility to maintain a record of all continuing education courses attended and retain proof of compliance with the continuing education requirements. Licensees may attend a continuing education course more than once during a continuing education compliance period. However, licensees who attend a course more than once cannot count the approved hours for that course toward the applicable continuing education requirement more than once during the continuing education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432.2(6)</w:t>
      </w:r>
      <w:r>
        <w:rPr>
          <w:rFonts w:ascii="Times New Roman" w:hAnsi="Times New Roman"/>
          <w:b w:val="false"/>
          <w:i w:val="false"/>
          <w:color w:val="000000"/>
          <w:sz w:val="22"/>
        </w:rPr>
        <w:t> </w:t>
      </w:r>
      <w:r>
        <w:rPr>
          <w:rFonts w:ascii="Times New Roman" w:hAnsi="Times New Roman"/>
          <w:b w:val="false"/>
          <w:i w:val="false"/>
          <w:color w:val="000000"/>
          <w:sz w:val="22"/>
        </w:rPr>
        <w:t>A licensee who is a presenter of a board-approved continuing education program may receive credit once per continuing education compliance period for the presentation of the program. The licensee may receive the same number of hours granted the attendees.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481—432.3</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programs/activities.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432.3(1)</w:t>
      </w:r>
      <w:r>
        <w:rPr>
          <w:rFonts w:ascii="Times New Roman" w:hAnsi="Times New Roman"/>
          <w:b w:val="false"/>
          <w:i w:val="false"/>
          <w:color w:val="000000"/>
          <w:sz w:val="22"/>
        </w:rPr>
        <w:t> </w:t>
      </w:r>
      <w:r>
        <w:rPr>
          <w:rFonts w:ascii="Times New Roman" w:hAnsi="Times New Roman"/>
          <w:b w:val="false"/>
          <w:i/>
          <w:color w:val="000000"/>
          <w:sz w:val="22"/>
        </w:rPr>
        <w:t xml:space="preserve">Standards for continuing education programs/activities. </w:t>
      </w:r>
      <w:r>
        <w:rPr>
          <w:rFonts w:ascii="Times New Roman" w:hAnsi="Times New Roman"/>
          <w:b w:val="false"/>
          <w:i w:val="false"/>
          <w:color w:val="000000"/>
          <w:sz w:val="22"/>
        </w:rPr>
        <w:t>A program/activity is appropriate for continuing education credit if the program/activity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board-approved;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obtained board approval as set forth in subrule </w:t>
      </w:r>
      <w:hyperlink r:id="rId10">
        <w:r>
          <w:rPr>
            <w:rStyle w:val="Hyperlink"/>
            <w:rFonts w:ascii="Times New Roman" w:hAnsi="Times New Roman"/>
            <w:b w:val="false"/>
            <w:i w:val="false"/>
            <w:color w:val="000000"/>
            <w:sz w:val="22"/>
          </w:rPr>
          <w:t>432.4(1)</w:t>
        </w:r>
      </w:hyperlink>
      <w:r>
        <w:rPr>
          <w:rFonts w:ascii="Times New Roman" w:hAnsi="Times New Roman"/>
          <w:b w:val="false"/>
          <w:i w:val="false"/>
          <w:color w:val="000000"/>
          <w:sz w:val="22"/>
        </w:rPr>
        <w:t xml:space="preserve">. This criterion is not needed for computer-based continuing education programs/activities conducted pursuant to subrule </w:t>
      </w:r>
      <w:hyperlink r:id="rId11">
        <w:r>
          <w:rPr>
            <w:rStyle w:val="Hyperlink"/>
            <w:rFonts w:ascii="Times New Roman" w:hAnsi="Times New Roman"/>
            <w:b w:val="false"/>
            <w:i w:val="false"/>
            <w:color w:val="000000"/>
            <w:sz w:val="22"/>
          </w:rPr>
          <w:t>432.2(3)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Covers product knowledge, methods, and systems of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theory and technique for a specific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current Iowa plumbing code, Iowa mechanical code,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standards comprising the current Iowa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432.3(2)</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 xml:space="preserve">Board approval for specific programs/activities under paragraph </w:t>
      </w:r>
      <w:hyperlink r:id="rId12">
        <w:r>
          <w:rPr>
            <w:rStyle w:val="Hyperlink"/>
            <w:rFonts w:ascii="Times New Roman" w:hAnsi="Times New Roman"/>
            <w:b w:val="false"/>
            <w:i w:val="false"/>
            <w:color w:val="000000"/>
            <w:sz w:val="22"/>
          </w:rPr>
          <w:t>432.3(1)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432.3(3)</w:t>
      </w:r>
      <w:r>
        <w:rPr>
          <w:rFonts w:ascii="Times New Roman" w:hAnsi="Times New Roman"/>
          <w:b w:val="false"/>
          <w:i w:val="false"/>
          <w:color w:val="000000"/>
          <w:sz w:val="22"/>
        </w:rPr>
        <w:t> </w:t>
      </w:r>
      <w:r>
        <w:rPr>
          <w:rFonts w:ascii="Times New Roman" w:hAnsi="Times New Roman"/>
          <w:b w:val="false"/>
          <w:i/>
          <w:color w:val="000000"/>
          <w:sz w:val="22"/>
        </w:rPr>
        <w:t xml:space="preserve">Procedure and standards for board approval of continuing education programs/activities.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non-computer-based continuing education programs/activities, an individual or entity seeking board approval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 at least 60 days prior to the first scheduled course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Attach a copy of the course or activity outline or syllabus that, at a minimum, specifically identifies the course content and a breakdown of the student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Attach a schedule of courses, if known, indicating the course’s or activity’s proposed scheduled locations,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computer-based continuing education programs/activities, an individual or entity seeking board approval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Attach a copy of the course or activity outline or syllabus that, at a minimum, specifically identifies the course content and a breakdown of the student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Attach a schedule of courses, if known, indicating the course’s or activity’s proposed scheduled locations,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brief summary of the training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a copy of the visual aids, or other materials included with the course or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the names, contact information, and qualifications or résumés of the training designers.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432.3(4)</w:t>
      </w:r>
      <w:r>
        <w:rPr>
          <w:rFonts w:ascii="Times New Roman" w:hAnsi="Times New Roman"/>
          <w:b w:val="false"/>
          <w:i w:val="false"/>
          <w:color w:val="000000"/>
          <w:sz w:val="22"/>
        </w:rPr>
        <w:t> </w:t>
      </w:r>
      <w:r>
        <w:rPr>
          <w:rFonts w:ascii="Times New Roman" w:hAnsi="Times New Roman"/>
          <w:b w:val="false"/>
          <w:i/>
          <w:color w:val="000000"/>
          <w:sz w:val="22"/>
        </w:rPr>
        <w:t xml:space="preserve">Board member attendance. </w:t>
      </w:r>
      <w:r>
        <w:rPr>
          <w:rFonts w:ascii="Times New Roman" w:hAnsi="Times New Roman"/>
          <w:b w:val="false"/>
          <w:i w:val="false"/>
          <w:color w:val="000000"/>
          <w:sz w:val="22"/>
        </w:rPr>
        <w:t>With board approval, board members may attend any board-approved continuing education program/activity for purposes of determining whether the continuing education program/activity complies with these rules. In the event a board member attends a board-approved continuing education program/activity with the purpose of determining whether the continuing education program/activity complies with these rules, the board member cannot receive any continuing education credit for those hours in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481—432.4</w:t>
      </w:r>
      <w:r>
        <w:rPr>
          <w:rFonts w:ascii="Times New Roman" w:hAnsi="Times New Roman"/>
          <w:b/>
          <w:i w:val="false"/>
          <w:color w:val="000000"/>
          <w:sz w:val="22"/>
        </w:rPr>
        <w:t xml:space="preserve">(105) </w:t>
      </w:r>
      <w:r>
        <w:rPr>
          <w:rFonts w:ascii="Times New Roman" w:hAnsi="Times New Roman"/>
          <w:b/>
          <w:i w:val="false"/>
          <w:color w:val="000000"/>
          <w:sz w:val="22"/>
        </w:rPr>
        <w:t xml:space="preserve">Course 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432.4(1)</w:t>
      </w:r>
      <w:r>
        <w:rPr>
          <w:rFonts w:ascii="Times New Roman" w:hAnsi="Times New Roman"/>
          <w:b w:val="false"/>
          <w:i w:val="false"/>
          <w:color w:val="000000"/>
          <w:sz w:val="22"/>
        </w:rPr>
        <w:t> </w:t>
      </w:r>
      <w:r>
        <w:rPr>
          <w:rFonts w:ascii="Times New Roman" w:hAnsi="Times New Roman"/>
          <w:b w:val="false"/>
          <w:i/>
          <w:color w:val="000000"/>
          <w:sz w:val="22"/>
        </w:rPr>
        <w:t xml:space="preserve">Procedure and standards for board approval of instructors. </w:t>
      </w:r>
      <w:r>
        <w:rPr>
          <w:rFonts w:ascii="Times New Roman" w:hAnsi="Times New Roman"/>
          <w:b w:val="false"/>
          <w:i w:val="false"/>
          <w:color w:val="000000"/>
          <w:sz w:val="22"/>
        </w:rPr>
        <w:t>An individual seeking board approval to instruct continuing education programs/activities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Attach copies of documents, licenses, degrees, and other materials demonstrating compliance with the requirements for the type of continuing education program/activity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the Iowa occupational safety and health Act, an individual must either possess and maintain a current Iowa occupational safety and health Act 500, 501, 502, or 503 card or completion certificate, or both, or possess a current train-the-trainer or instructor card or other certification or safety-related degree or diploma issued by the American Heart Association, American Red Cross, Health and Safety Institute, National Safety Council, Board of Certified Safety Professionals, or board-approved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the Iowa plumbing code or Iowa mechanical code, or both,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current license issued by the board at the journey or master level in the applicable discipline under that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current license as a professional engineer under Iowa Code chapter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 evidence of having taught at least eight contact hours in the applicable code within the last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Possess a current inspector or plans examiner certificate issued by a code body in the discipline,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equivalent specialized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a practice discipline,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current license issued by the board at the journey or master level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current license as a professional engineer under Iowa Code chapter </w:t>
      </w:r>
      <w:hyperlink r:id="rId1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evidence of employment as a product representative with manufacturer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 evidence of having taught at least eight contact hours in the applicable discipline within the last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equivalent specialized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432.4(2)</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 xml:space="preserve">Board approval for an instructor under subrule </w:t>
      </w:r>
      <w:hyperlink r:id="rId15">
        <w:r>
          <w:rPr>
            <w:rStyle w:val="Hyperlink"/>
            <w:rFonts w:ascii="Times New Roman" w:hAnsi="Times New Roman"/>
            <w:b w:val="false"/>
            <w:i w:val="false"/>
            <w:color w:val="000000"/>
            <w:sz w:val="22"/>
          </w:rPr>
          <w:t>432.4(1)</w:t>
        </w:r>
      </w:hyperlink>
      <w:r>
        <w:rPr>
          <w:rFonts w:ascii="Times New Roman" w:hAnsi="Times New Roman"/>
          <w:b w:val="false"/>
          <w:i w:val="false"/>
          <w:color w:val="000000"/>
          <w:sz w:val="22"/>
        </w:rPr>
        <w:t xml:space="preserve"> will be valid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481—432.5</w:t>
      </w:r>
      <w:r>
        <w:rPr>
          <w:rFonts w:ascii="Times New Roman" w:hAnsi="Times New Roman"/>
          <w:b/>
          <w:i w:val="false"/>
          <w:color w:val="000000"/>
          <w:sz w:val="22"/>
        </w:rPr>
        <w:t xml:space="preserve">(105) </w:t>
      </w:r>
      <w:r>
        <w:rPr>
          <w:rFonts w:ascii="Times New Roman" w:hAnsi="Times New Roman"/>
          <w:b/>
          <w:i w:val="false"/>
          <w:color w:val="000000"/>
          <w:sz w:val="22"/>
        </w:rPr>
        <w:t xml:space="preserve">Compliance review of continuing education requirements. </w:t>
      </w:r>
      <w:r>
        <w:rPr>
          <w:rFonts w:ascii="Times New Roman" w:hAnsi="Times New Roman"/>
          <w:b w:val="false"/>
          <w:i w:val="false"/>
          <w:color w:val="000000"/>
          <w:sz w:val="22"/>
        </w:rPr>
        <w:t>The board may conduct a review of a licensee’s license renewal application to determine compliance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432.5(1)</w:t>
      </w:r>
      <w:r>
        <w:rPr>
          <w:rFonts w:ascii="Times New Roman" w:hAnsi="Times New Roman"/>
          <w:b w:val="false"/>
          <w:i w:val="false"/>
          <w:color w:val="000000"/>
          <w:sz w:val="22"/>
        </w:rPr>
        <w:t> </w:t>
      </w:r>
      <w:r>
        <w:rPr>
          <w:rFonts w:ascii="Times New Roman" w:hAnsi="Times New Roman"/>
          <w:b w:val="false"/>
          <w:i w:val="false"/>
          <w:color w:val="000000"/>
          <w:sz w:val="22"/>
        </w:rPr>
        <w:t>Upon board request, the licensee must submit to the board an individual certificate of completion issued to the licensee or evidence of successful completion of the course from the course sponsor or course instructor containing the course title, date(s), contact hours, sponsor’s name, and licensee’s name. In some instances, licensees will be requested to provide to the board additional information including, but not limited to, program content, objectives, presenters, location, and schedule. An inclusive brochure may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must submit all information set forth in subrule </w:t>
      </w:r>
      <w:hyperlink r:id="rId16">
        <w:r>
          <w:rPr>
            <w:rStyle w:val="Hyperlink"/>
            <w:rFonts w:ascii="Times New Roman" w:hAnsi="Times New Roman"/>
            <w:b w:val="false"/>
            <w:i w:val="false"/>
            <w:color w:val="000000"/>
            <w:sz w:val="22"/>
          </w:rPr>
          <w:t>432.5(1)</w:t>
        </w:r>
      </w:hyperlink>
      <w:r>
        <w:rPr>
          <w:rFonts w:ascii="Times New Roman" w:hAnsi="Times New Roman"/>
          <w:b w:val="false"/>
          <w:i w:val="false"/>
          <w:color w:val="000000"/>
          <w:sz w:val="22"/>
        </w:rPr>
        <w:t xml:space="preserve"> within 30 calendar days following the board’s request. The board may grant extensions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432.5(3)</w:t>
      </w:r>
      <w:r>
        <w:rPr>
          <w:rFonts w:ascii="Times New Roman" w:hAnsi="Times New Roman"/>
          <w:b w:val="false"/>
          <w:i w:val="false"/>
          <w:color w:val="000000"/>
          <w:sz w:val="22"/>
        </w:rPr>
        <w:t> </w:t>
      </w:r>
      <w:r>
        <w:rPr>
          <w:rFonts w:ascii="Times New Roman" w:hAnsi="Times New Roman"/>
          <w:b w:val="false"/>
          <w:i w:val="false"/>
          <w:color w:val="000000"/>
          <w:sz w:val="22"/>
        </w:rPr>
        <w:t>If the submitted materials are incomplete or unsatisfactory and the board determines that the deficiency was the result of good faith conduct on the part of the licensee, the licensee may be given the opportunity to submit make-up credit to cover the deficit found through the audit. A licensee must complete the continuing education hours and submit documentation establishing completion of the required make-up continuing education hours to the board within 120 calendar days from the date of the board’s finding of good-faith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432.5(4)</w:t>
      </w:r>
      <w:r>
        <w:rPr>
          <w:rFonts w:ascii="Times New Roman" w:hAnsi="Times New Roman"/>
          <w:b w:val="false"/>
          <w:i w:val="false"/>
          <w:color w:val="000000"/>
          <w:sz w:val="22"/>
        </w:rPr>
        <w:t> </w:t>
      </w:r>
      <w:r>
        <w:rPr>
          <w:rFonts w:ascii="Times New Roman" w:hAnsi="Times New Roman"/>
          <w:b w:val="false"/>
          <w:i w:val="false"/>
          <w:color w:val="000000"/>
          <w:sz w:val="22"/>
        </w:rPr>
        <w:t>A licensee’s failure to provide the board with an accurate mailing address is not an excuse for noncompliance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481—432.6</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432.6(1)</w:t>
      </w:r>
      <w:r>
        <w:rPr>
          <w:rFonts w:ascii="Times New Roman" w:hAnsi="Times New Roman"/>
          <w:b w:val="false"/>
          <w:i w:val="false"/>
          <w:color w:val="000000"/>
          <w:sz w:val="22"/>
        </w:rPr>
        <w:t> </w:t>
      </w:r>
      <w:r>
        <w:rPr>
          <w:rFonts w:ascii="Times New Roman" w:hAnsi="Times New Roman"/>
          <w:b w:val="false"/>
          <w:i/>
          <w:color w:val="000000"/>
          <w:sz w:val="22"/>
        </w:rPr>
        <w:t xml:space="preserve">Automatic exemptions. </w:t>
      </w:r>
      <w:r>
        <w:rPr>
          <w:rFonts w:ascii="Times New Roman" w:hAnsi="Times New Roman"/>
          <w:b w:val="false"/>
          <w:i w:val="false"/>
          <w:color w:val="000000"/>
          <w:sz w:val="22"/>
        </w:rPr>
        <w:t>A licensee will be exempt from the continuing education requirement during the continuing education compliance period when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Served honorably on active duty in the military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Resided in another state or district having continuing education requirements for the discipline and met all mandates of that state or district for practice therein;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Was a government employee working in the licensee’s specialty and assigned to duty outside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Was absent from the state but engaged in active practice under circumstances that are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Obtained a journeyperson license by examination provided that the licensee maintains the same renewal date as the licensee’s apprentice license. This automatic exemption only applies to the licensee’s first renewal of the journeyperson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Obtained a specialty, journeyperson, or master license with less than one year remaining in the continuing education compliance period. This exemption applies only to the licensee’s first renewal of that license and only to each license that was issued with less than one year remaining in the continuing education compliance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Possesses an inactive specialty license under </w:t>
      </w:r>
      <w:hyperlink r:id="rId17">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 xml:space="preserve"> and is also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432.6(2)</w:t>
      </w:r>
      <w:r>
        <w:rPr>
          <w:rFonts w:ascii="Times New Roman" w:hAnsi="Times New Roman"/>
          <w:b w:val="false"/>
          <w:i w:val="false"/>
          <w:color w:val="000000"/>
          <w:sz w:val="22"/>
        </w:rPr>
        <w:t> </w:t>
      </w:r>
      <w:r>
        <w:rPr>
          <w:rFonts w:ascii="Times New Roman" w:hAnsi="Times New Roman"/>
          <w:b w:val="false"/>
          <w:i/>
          <w:color w:val="000000"/>
          <w:sz w:val="22"/>
        </w:rPr>
        <w:t xml:space="preserve">Permissive exemptions. </w:t>
      </w:r>
      <w:r>
        <w:rPr>
          <w:rFonts w:ascii="Times New Roman" w:hAnsi="Times New Roman"/>
          <w:b w:val="false"/>
          <w:i w:val="false"/>
          <w:color w:val="000000"/>
          <w:sz w:val="22"/>
        </w:rPr>
        <w:t>The board may, in cases involving exceptional hardship or extenuating circumstances, grant an exemption from some or all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a permissive exemption will apply to the board, in such form as the board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seeking a permissive exemption will provide all such documentary evidence as the board may request to establish the exceptional hardship or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a licensee claims a physical or mental disability or illness, the board may request information from a licensed health care professional who can attest to the existence of any such disability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applies for a permissive exemption will be notified in writing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granting an exemption, the board may impose any such additional conditions on the exemption including but not limited to the requirement that the licensee make up a portion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lieu of granting a full or partial exemption, the board may grant the licensee an extension of time in which to complete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granting of an exemption will not keep a licensee from seeking, or the board from granting, an exemption in a subsequent biennial continuing education compliance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Permissive exemptions will only be granted in the most exceptional and extraordinary of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481—432.7</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extensions. </w:t>
      </w:r>
      <w:r>
        <w:rPr>
          <w:rFonts w:ascii="Times New Roman" w:hAnsi="Times New Roman"/>
          <w:b w:val="false"/>
          <w:i w:val="false"/>
          <w:color w:val="000000"/>
          <w:sz w:val="22"/>
        </w:rPr>
        <w:t>The board may, in individual cases involving hardship or extenuating circumstances, grant an extension of time within which to fulfill the minimum continuing education requirements if the request for extension is made prior to the license expiration date. Hardship or extenuating circumstances include documented circumstances beyond the control of the licensee that prevent attendance at necessary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481—432.8</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432.8(1)</w:t>
      </w:r>
      <w:r>
        <w:rPr>
          <w:rFonts w:ascii="Times New Roman" w:hAnsi="Times New Roman"/>
          <w:b w:val="false"/>
          <w:i w:val="false"/>
          <w:color w:val="000000"/>
          <w:sz w:val="22"/>
        </w:rPr>
        <w:t> </w:t>
      </w:r>
      <w:r>
        <w:rPr>
          <w:rFonts w:ascii="Times New Roman" w:hAnsi="Times New Roman"/>
          <w:b w:val="false"/>
          <w:i/>
          <w:color w:val="000000"/>
          <w:sz w:val="22"/>
        </w:rPr>
        <w:t xml:space="preserve">Non-computer-based continuing education programs/activities. </w:t>
      </w:r>
      <w:r>
        <w:rPr>
          <w:rFonts w:ascii="Times New Roman" w:hAnsi="Times New Roman"/>
          <w:b w:val="false"/>
          <w:i w:val="false"/>
          <w:color w:val="000000"/>
          <w:sz w:val="22"/>
        </w:rPr>
        <w:t>For non-computer-based continuing education programs/activities, at the conclusion of each continuing education course, the course instructor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each attending licensee that a survey of the course and instructor may be completed and submitted by the licensee to the board through either a board-approved written or online evaluation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certificate of completion to each licensee who attends the course. The certificate of completion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full name and board-issued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instructor’s full name and board-approved identification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instructor’s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to the board a typed or electronic course completion roster within 30 days following the completion of the course. The course completion roster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board-issued license number of each attending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instructor’s full name and board-approved identification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instructor’s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432.8(2)</w:t>
      </w:r>
      <w:r>
        <w:rPr>
          <w:rFonts w:ascii="Times New Roman" w:hAnsi="Times New Roman"/>
          <w:b w:val="false"/>
          <w:i w:val="false"/>
          <w:color w:val="000000"/>
          <w:sz w:val="22"/>
        </w:rPr>
        <w:t> </w:t>
      </w:r>
      <w:r>
        <w:rPr>
          <w:rFonts w:ascii="Times New Roman" w:hAnsi="Times New Roman"/>
          <w:b w:val="false"/>
          <w:i/>
          <w:color w:val="000000"/>
          <w:sz w:val="22"/>
        </w:rPr>
        <w:t xml:space="preserve">Computer-based continuing education programs/activities. </w:t>
      </w:r>
      <w:r>
        <w:rPr>
          <w:rFonts w:ascii="Times New Roman" w:hAnsi="Times New Roman"/>
          <w:b w:val="false"/>
          <w:i w:val="false"/>
          <w:color w:val="000000"/>
          <w:sz w:val="22"/>
        </w:rPr>
        <w:t xml:space="preserve">For computer-based continuing education programs/activities under subrule </w:t>
      </w:r>
      <w:hyperlink r:id="rId18">
        <w:r>
          <w:rPr>
            <w:rStyle w:val="Hyperlink"/>
            <w:rFonts w:ascii="Times New Roman" w:hAnsi="Times New Roman"/>
            <w:b w:val="false"/>
            <w:i w:val="false"/>
            <w:color w:val="000000"/>
            <w:sz w:val="22"/>
          </w:rPr>
          <w:t>432.2(3)</w:t>
        </w:r>
      </w:hyperlink>
      <w:r>
        <w:rPr>
          <w:rFonts w:ascii="Times New Roman" w:hAnsi="Times New Roman"/>
          <w:b w:val="false"/>
          <w:i w:val="false"/>
          <w:color w:val="000000"/>
          <w:sz w:val="22"/>
        </w:rPr>
        <w:t>, at the conclusion of each computer-based continuing education course, the person authorized to monitor and verify attendance/course completion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certificate of completion to each licensee who completes the course. The certificate of completion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full name and board-issued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course was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to the board a typed or electronic course completion roster within 30 days following a licensee’s completion of a computer-based continuing education course. The course completion roster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board-issued license number of each attending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8270B, IAB 11/4/09, effective 10/16/09]</w:t>
      </w:r>
    </w:p>
    <w:p>
      <w:pPr>
        <w:spacing w:before="0" w:after="0"/>
        <w:ind w:left="120"/>
        <w:jc w:val="center"/>
      </w:pPr>
      <w:r>
        <w:rPr>
          <w:rFonts w:ascii="Times New Roman" w:hAnsi="Times New Roman"/>
          <w:b w:val="false"/>
          <w:i w:val="false"/>
          <w:color w:val="000000"/>
          <w:sz w:val="21"/>
        </w:rPr>
        <w:t>[Filed ARC 8475B</w:t>
      </w:r>
      <w:r>
        <w:rPr>
          <w:rFonts w:ascii="Times New Roman" w:hAnsi="Times New Roman"/>
          <w:b w:val="false"/>
          <w:i w:val="false"/>
          <w:color w:val="000000"/>
          <w:sz w:val="21"/>
        </w:rPr>
        <w:t xml:space="preserve"> (Notice ARC 8268B, IAB 11/4/09)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9605B, IAB 7/13/11, effective 6/21/11]</w:t>
      </w:r>
    </w:p>
    <w:p>
      <w:pPr>
        <w:spacing w:before="0" w:after="0"/>
        <w:ind w:left="120"/>
        <w:jc w:val="center"/>
      </w:pPr>
      <w:r>
        <w:rPr>
          <w:rFonts w:ascii="Times New Roman" w:hAnsi="Times New Roman"/>
          <w:b w:val="false"/>
          <w:i w:val="false"/>
          <w:color w:val="000000"/>
          <w:sz w:val="21"/>
        </w:rPr>
        <w:t>[Filed ARC 9850B</w:t>
      </w:r>
      <w:r>
        <w:rPr>
          <w:rFonts w:ascii="Times New Roman" w:hAnsi="Times New Roman"/>
          <w:b w:val="false"/>
          <w:i w:val="false"/>
          <w:color w:val="000000"/>
          <w:sz w:val="21"/>
        </w:rPr>
        <w:t xml:space="preserve"> (Notice ARC 9613B,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1221C</w:t>
      </w:r>
      <w:r>
        <w:rPr>
          <w:rFonts w:ascii="Times New Roman" w:hAnsi="Times New Roman"/>
          <w:b w:val="false"/>
          <w:i w:val="false"/>
          <w:color w:val="000000"/>
          <w:sz w:val="21"/>
        </w:rPr>
        <w:t xml:space="preserve"> (Notice ARC 0933C,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5483C</w:t>
      </w:r>
      <w:r>
        <w:rPr>
          <w:rFonts w:ascii="Times New Roman" w:hAnsi="Times New Roman"/>
          <w:b w:val="false"/>
          <w:i w:val="false"/>
          <w:color w:val="000000"/>
          <w:sz w:val="21"/>
        </w:rPr>
        <w:t xml:space="preserve"> (Notice ARC 5278C,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7996C</w:t>
      </w:r>
      <w:r>
        <w:rPr>
          <w:rFonts w:ascii="Times New Roman" w:hAnsi="Times New Roman"/>
          <w:b w:val="false"/>
          <w:i w:val="false"/>
          <w:color w:val="000000"/>
          <w:sz w:val="21"/>
        </w:rPr>
        <w:t xml:space="preserve"> (Notice ARC 7286C,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05.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ac/rule/481.431.8.pdf" Type="http://schemas.openxmlformats.org/officeDocument/2006/relationships/hyperlink" Id="rId8"/>
    <Relationship TargetMode="External" Target="https://www.legis.iowa.gov/docs/iac/rule/481.432.2.pdf" Type="http://schemas.openxmlformats.org/officeDocument/2006/relationships/hyperlink" Id="rId9"/>
    <Relationship TargetMode="External" Target="https://www.legis.iowa.gov/docs/iac/rule/481.432.4.pdf" Type="http://schemas.openxmlformats.org/officeDocument/2006/relationships/hyperlink" Id="rId10"/>
    <Relationship TargetMode="External" Target="https://www.legis.iowa.gov/docs/iac/rule/481.432.2.pdf" Type="http://schemas.openxmlformats.org/officeDocument/2006/relationships/hyperlink" Id="rId11"/>
    <Relationship TargetMode="External" Target="https://www.legis.iowa.gov/docs/iac/rule/481.432.3.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co/chapter/542B.pdf" Type="http://schemas.openxmlformats.org/officeDocument/2006/relationships/hyperlink" Id="rId14"/>
    <Relationship TargetMode="External" Target="https://www.legis.iowa.gov/docs/iac/rule/481.432.4.pdf" Type="http://schemas.openxmlformats.org/officeDocument/2006/relationships/hyperlink" Id="rId15"/>
    <Relationship TargetMode="External" Target="https://www.legis.iowa.gov/docs/iac/rule/481.432.5.pdf" Type="http://schemas.openxmlformats.org/officeDocument/2006/relationships/hyperlink" Id="rId16"/>
    <Relationship TargetMode="External" Target="https://www.legis.iowa.gov/docs/iac/rule/481.431.8.pdf" Type="http://schemas.openxmlformats.org/officeDocument/2006/relationships/hyperlink" Id="rId17"/>
    <Relationship TargetMode="External" Target="https://www.legis.iowa.gov/docs/iac/rule/481.432.2.pdf" Type="http://schemas.openxmlformats.org/officeDocument/2006/relationships/hyperlink" Id="rId18"/>
    <Relationship TargetMode="External" Target="https://www.legis.iowa.gov/docs/ico/chapter/105.pdf" Type="http://schemas.openxmlformats.org/officeDocument/2006/relationships/hyperlink" Id="rId19"/>
    <Relationship TargetMode="External" Target="https://www.legis.iowa.gov/docs/ico/chapter/272C.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