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431</w:t>
      </w:r>
    </w:p>
    <w:p>
      <w:pPr>
        <w:spacing w:before="0" w:after="0"/>
        <w:ind w:left="120"/>
        <w:jc w:val="center"/>
      </w:pPr>
      <w:r>
        <w:rPr>
          <w:rFonts w:ascii="Times New Roman" w:hAnsi="Times New Roman"/>
          <w:b w:val="false"/>
          <w:i w:val="false"/>
          <w:color w:val="000000"/>
          <w:sz w:val="21"/>
        </w:rPr>
        <w:t>PLUMBING AND MECHANICAL SYSTEMS BOARD—LICENSEE PRACTICE</w:t>
      </w:r>
    </w:p>
    <w:p>
      <w:pPr>
        <w:spacing w:before="0" w:after="0"/>
        <w:ind w:left="120"/>
        <w:jc w:val="center"/>
      </w:pPr>
      <w:r>
        <w:rPr>
          <w:rFonts w:ascii="Times New Roman" w:hAnsi="Times New Roman"/>
          <w:b w:val="false"/>
          <w:i w:val="false"/>
          <w:color w:val="000000"/>
          <w:sz w:val="20"/>
        </w:rPr>
        <w:t>[Prior to 4/2/25, see Public Health Department[641]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481—431.1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additional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“Lapsed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holding a license issued by the board, including an apprentice, journeyperson, or master license in the plumbing, mechanical, HVAC-refrigeration, sheet metal, or hydronics trades; a combined license; a special, restricted sublicense; or a medical gas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“Master of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possessing an active master license under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who shall be responsible for the proper designing, installing, and repairing of plumbing, mechanical, HVAC-refrigeration, sheet metal, or hydronic systems and who is actively in charge of the plumbing, mechanical, HVAC-refrigeration, sheet metal, or hydronic work of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481—431.2</w:t>
      </w:r>
      <w:r>
        <w:rPr>
          <w:rFonts w:ascii="Times New Roman" w:hAnsi="Times New Roman"/>
          <w:b/>
          <w:i w:val="false"/>
          <w:color w:val="000000"/>
          <w:sz w:val="22"/>
        </w:rPr>
        <w:t xml:space="preserve">(105) </w:t>
      </w:r>
      <w:r>
        <w:rPr>
          <w:rFonts w:ascii="Times New Roman" w:hAnsi="Times New Roman"/>
          <w:b/>
          <w:i w:val="false"/>
          <w:color w:val="000000"/>
          <w:sz w:val="22"/>
        </w:rPr>
        <w:t xml:space="preserve">Duties of all licensees, specialty licensees, and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conducting business or performing work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each licensee will keep a copy of the licensee’s board-issued license on the licensee’s person or in an easily retrievable area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val="false"/>
          <w:color w:val="000000"/>
          <w:sz w:val="22"/>
        </w:rPr>
        <w:t>Each licensee will maintain a residential or business address on record with the board. In the event the licensee’s residential or business address changes, the licensee will so notify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apply for and obtain all applicable permits prior to performing any work covered under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as may be mandated by any law, ordinance, or regulation of this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present upon request a copy of the licensee’s board-issued license issued under Iowa Code section </w:t>
      </w:r>
      <w:hyperlink r:id="rId9">
        <w:r>
          <w:rPr>
            <w:rStyle w:val="Hyperlink"/>
            <w:rFonts w:ascii="Times New Roman" w:hAnsi="Times New Roman"/>
            <w:b w:val="false"/>
            <w:i w:val="false"/>
            <w:color w:val="000000"/>
            <w:sz w:val="22"/>
          </w:rPr>
          <w:t>105.12(2)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possessing a lapsed license cannot operate as a contractor or work in the plumbing, mechanical, HVAC-refrigeration, sheet metal, or hydronic disciplines or work as a medical gas system installer or work in a specialty license discipline until the license is reinstated and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will perform all Iowa Code chapter </w:t>
      </w:r>
      <w:hyperlink r:id="rId1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in conformity with the applicable professional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will not perform any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for which the licensee does not possess the requisite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431.2(8)</w:t>
      </w:r>
      <w:r>
        <w:rPr>
          <w:rFonts w:ascii="Times New Roman" w:hAnsi="Times New Roman"/>
          <w:b w:val="false"/>
          <w:i w:val="false"/>
          <w:color w:val="000000"/>
          <w:sz w:val="22"/>
        </w:rPr>
        <w:t> </w:t>
      </w:r>
      <w:r>
        <w:rPr>
          <w:rFonts w:ascii="Times New Roman" w:hAnsi="Times New Roman"/>
          <w:b w:val="false"/>
          <w:i w:val="false"/>
          <w:color w:val="000000"/>
          <w:sz w:val="22"/>
        </w:rPr>
        <w:t>A licensee will conform to the minimum standard of acceptable and prevailing practice and will exercise the degree of workmanlike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431.2(9)</w:t>
      </w:r>
      <w:r>
        <w:rPr>
          <w:rFonts w:ascii="Times New Roman" w:hAnsi="Times New Roman"/>
          <w:b w:val="false"/>
          <w:i w:val="false"/>
          <w:color w:val="000000"/>
          <w:sz w:val="22"/>
        </w:rPr>
        <w:t> </w:t>
      </w:r>
      <w:r>
        <w:rPr>
          <w:rFonts w:ascii="Times New Roman" w:hAnsi="Times New Roman"/>
          <w:b w:val="false"/>
          <w:i w:val="false"/>
          <w:color w:val="000000"/>
          <w:sz w:val="22"/>
        </w:rPr>
        <w:t>A licensee who utilizes the services of an unlicensed person as a helper will be responsible for the work performed by the helper and shall ensure that such work conforms to the minimum standard of acceptable and prevailing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481—431.3</w:t>
      </w:r>
      <w:r>
        <w:rPr>
          <w:rFonts w:ascii="Times New Roman" w:hAnsi="Times New Roman"/>
          <w:b/>
          <w:i w:val="false"/>
          <w:color w:val="000000"/>
          <w:sz w:val="22"/>
        </w:rPr>
        <w:t xml:space="preserve">(105) </w:t>
      </w:r>
      <w:r>
        <w:rPr>
          <w:rFonts w:ascii="Times New Roman" w:hAnsi="Times New Roman"/>
          <w:b/>
          <w:i w:val="false"/>
          <w:color w:val="000000"/>
          <w:sz w:val="22"/>
        </w:rPr>
        <w:t xml:space="preserve">Contractor license. </w:t>
      </w:r>
      <w:r>
        <w:rPr>
          <w:rFonts w:ascii="Times New Roman" w:hAnsi="Times New Roman"/>
          <w:b w:val="false"/>
          <w:i w:val="false"/>
          <w:color w:val="000000"/>
          <w:sz w:val="22"/>
        </w:rPr>
        <w:t xml:space="preserve">A contractor licensed under Iowa Code chapter </w:t>
      </w:r>
      <w:hyperlink r:id="rId1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A contractor will not engage in the business of designing, installing, or repairing plumbing, mechanical, HVAC-refrigeration, or hydronic systems unless at all times the contractor holds or employs at least one person holding an active master license issued by the board for each discipline in which the contractor conducts business. Without prior board approval, a contractor will not knowingly utilize a master licensee to meet this requirement if the master licensee is simultaneously associated with another contractor in that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3">
        <w:r>
          <w:rPr>
            <w:rStyle w:val="Hyperlink"/>
            <w:rFonts w:ascii="Times New Roman" w:hAnsi="Times New Roman"/>
            <w:b w:val="false"/>
            <w:i w:val="false"/>
            <w:color w:val="000000"/>
            <w:sz w:val="22"/>
          </w:rPr>
          <w:t>431.3(1)</w:t>
        </w:r>
      </w:hyperlink>
      <w:r>
        <w:rPr>
          <w:rFonts w:ascii="Times New Roman" w:hAnsi="Times New Roman"/>
          <w:b w:val="false"/>
          <w:i w:val="false"/>
          <w:color w:val="000000"/>
          <w:sz w:val="22"/>
        </w:rPr>
        <w:t>, in the event a licensed master of record’s employment with the contractor is terminated, or the master of record otherwise discontinues the master of record’s relationship with the contractor, or the master of record’s master license is lapsed, suspended, revoked, expired, or otherwise invalidated, the contractor may continue to provide plumbing, mechanical, HVAC-refrigeration, or hydronic systems services for a period of up to six months without identifying a new master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utilize the six-month grace period set forth in paragraph </w:t>
      </w:r>
      <w:hyperlink r:id="rId14">
        <w:r>
          <w:rPr>
            <w:rStyle w:val="Hyperlink"/>
            <w:rFonts w:ascii="Times New Roman" w:hAnsi="Times New Roman"/>
            <w:b w:val="false"/>
            <w:i w:val="false"/>
            <w:color w:val="000000"/>
            <w:sz w:val="22"/>
          </w:rPr>
          <w:t>431.3(1)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 contractor will notify the board of the contractor’s loss of the master of record within 30 days from the date the master of record is no longer associated with the contractor, absent exigent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A person holding a contractor license will keep the current license certificate publicly displayed in the primary place in which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person or entity holding a contractor license must maintain during the licensing period a surety bond issued by an entity licensed to do business in Iowa in a minimum amount of $5,000. If a person operates the contractor business as a sole proprietorship, the person must personally obtain and maintain the surety bond. If a person operates the contractor business as an employee or owner of a legal entity, the legal entity must obtain and maintain the surety bond, and the surety bond must cover all plumbing or mechanical work performed by the legal entity. The surety bond mandated under this subrule must contain a provision that requires the issuing entity to provide the board ten days’ written notice before the surety bond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431.3(4)</w:t>
      </w:r>
      <w:r>
        <w:rPr>
          <w:rFonts w:ascii="Times New Roman" w:hAnsi="Times New Roman"/>
          <w:b w:val="false"/>
          <w:i w:val="false"/>
          <w:color w:val="000000"/>
          <w:sz w:val="22"/>
        </w:rPr>
        <w:t> </w:t>
      </w:r>
      <w:r>
        <w:rPr>
          <w:rFonts w:ascii="Times New Roman" w:hAnsi="Times New Roman"/>
          <w:b w:val="false"/>
          <w:i/>
          <w:color w:val="000000"/>
          <w:sz w:val="22"/>
        </w:rPr>
        <w:t xml:space="preserve">Public liability insurance. </w:t>
      </w:r>
      <w:r>
        <w:rPr>
          <w:rFonts w:ascii="Times New Roman" w:hAnsi="Times New Roman"/>
          <w:b w:val="false"/>
          <w:i w:val="false"/>
          <w:color w:val="000000"/>
          <w:sz w:val="22"/>
        </w:rPr>
        <w:t>A person or entity holding a contractor license must maintain during the licensing period public liability insurance issued by an entity licensed to do business in Iowa in a minimum amount of $500,000. If a person operates the contractor business as a sole proprietorship, the person must personally obtain and maintain the public liability insurance. If a person operates the contractor business as an employee or owner of a legal entity, the legal entity must obtain and maintain the public liability insurance, and the public liability insurance must cover all plumbing and mechanical work performed by the legal entity. The public liability insurance mandated under this subrule must contain a provision that requires the issuing entity to provide the board ten days’ written notice before the public liability insurance can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431.3(5)</w:t>
      </w:r>
      <w:r>
        <w:rPr>
          <w:rFonts w:ascii="Times New Roman" w:hAnsi="Times New Roman"/>
          <w:b w:val="false"/>
          <w:i w:val="false"/>
          <w:color w:val="000000"/>
          <w:sz w:val="22"/>
        </w:rPr>
        <w:t> </w:t>
      </w:r>
      <w:r>
        <w:rPr>
          <w:rFonts w:ascii="Times New Roman" w:hAnsi="Times New Roman"/>
          <w:b w:val="false"/>
          <w:i/>
          <w:color w:val="000000"/>
          <w:sz w:val="22"/>
        </w:rPr>
        <w:t xml:space="preserve">Contractor registration with the department. </w:t>
      </w:r>
      <w:r>
        <w:rPr>
          <w:rFonts w:ascii="Times New Roman" w:hAnsi="Times New Roman"/>
          <w:b w:val="false"/>
          <w:i w:val="false"/>
          <w:color w:val="000000"/>
          <w:sz w:val="22"/>
        </w:rPr>
        <w:t xml:space="preserve">A contractor will maintain registration as a contractor with the director pursuant to Iowa Code chapter </w:t>
      </w:r>
      <w:hyperlink r:id="rId1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by providing the board with the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431.3(6)</w:t>
      </w:r>
      <w:r>
        <w:rPr>
          <w:rFonts w:ascii="Times New Roman" w:hAnsi="Times New Roman"/>
          <w:b w:val="false"/>
          <w:i w:val="false"/>
          <w:color w:val="000000"/>
          <w:sz w:val="22"/>
        </w:rPr>
        <w:t> </w:t>
      </w:r>
      <w:r>
        <w:rPr>
          <w:rFonts w:ascii="Times New Roman" w:hAnsi="Times New Roman"/>
          <w:b w:val="false"/>
          <w:i/>
          <w:color w:val="000000"/>
          <w:sz w:val="22"/>
        </w:rPr>
        <w:t xml:space="preserve">Permanent place of business. </w:t>
      </w:r>
      <w:r>
        <w:rPr>
          <w:rFonts w:ascii="Times New Roman" w:hAnsi="Times New Roman"/>
          <w:b w:val="false"/>
          <w:i w:val="false"/>
          <w:color w:val="000000"/>
          <w:sz w:val="22"/>
        </w:rPr>
        <w:t>A contractor will maintain a permanent place of business, the address of which will be provided to the board. If a contractor changes the permanent place of business, the contractor will provide the board the new address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431.3(7)</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A contractor will not knowingly allow an employee to perform work covered under Iowa Code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the applicable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431.3(8)</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contractor will not knowingly allow an apprentice employed by the contractor to perform work covered under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without supervision of the apprentice by a master or journeyperson who is also employed by the contractor and who is licensed in the discipline in which the apprentice is performing such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481—431.4</w:t>
      </w:r>
      <w:r>
        <w:rPr>
          <w:rFonts w:ascii="Times New Roman" w:hAnsi="Times New Roman"/>
          <w:b/>
          <w:i w:val="false"/>
          <w:color w:val="000000"/>
          <w:sz w:val="22"/>
        </w:rPr>
        <w:t xml:space="preserve">(105) </w:t>
      </w:r>
      <w:r>
        <w:rPr>
          <w:rFonts w:ascii="Times New Roman" w:hAnsi="Times New Roman"/>
          <w:b/>
          <w:i w:val="false"/>
          <w:color w:val="000000"/>
          <w:sz w:val="22"/>
        </w:rPr>
        <w:t xml:space="preserve">Master license. </w:t>
      </w:r>
      <w:r>
        <w:rPr>
          <w:rFonts w:ascii="Times New Roman" w:hAnsi="Times New Roman"/>
          <w:b w:val="false"/>
          <w:i w:val="false"/>
          <w:color w:val="000000"/>
          <w:sz w:val="22"/>
        </w:rPr>
        <w:t xml:space="preserve">A master licensed under Iowa Code chapter </w:t>
      </w:r>
      <w:hyperlink r:id="rId1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431.4(1)</w:t>
      </w:r>
      <w:r>
        <w:rPr>
          <w:rFonts w:ascii="Times New Roman" w:hAnsi="Times New Roman"/>
          <w:b w:val="false"/>
          <w:i w:val="false"/>
          <w:color w:val="000000"/>
          <w:sz w:val="22"/>
        </w:rPr>
        <w:t> </w:t>
      </w:r>
      <w:r>
        <w:rPr>
          <w:rFonts w:ascii="Times New Roman" w:hAnsi="Times New Roman"/>
          <w:b w:val="false"/>
          <w:i/>
          <w:color w:val="000000"/>
          <w:sz w:val="22"/>
        </w:rPr>
        <w:t xml:space="preserve">Contractor relationship. </w:t>
      </w:r>
      <w:r>
        <w:rPr>
          <w:rFonts w:ascii="Times New Roman" w:hAnsi="Times New Roman"/>
          <w:b w:val="false"/>
          <w:i w:val="false"/>
          <w:color w:val="000000"/>
          <w:sz w:val="22"/>
        </w:rPr>
        <w:t>A master may only be a master of record for one contractor in any particular discipline at any one time, except that a contractor or a master may seek prior board approval to serve as the master of record for more than one contractor in a particular discipline. An individual who possesses master licenses in multiple disciplines may be a master of record for multiple contractors so long as the individual is only a master of record for one contractor in any particular discipline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master will not knowingly perform work covered under Iowa Code chapter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master who superintends the design, installation, or repair of plumbing, mechanical, HVAC-refrigeration, or hydronic systems will be available to supervise journeypersons or apprentices as needed and may only provide such supervision in the discipline or disciplines in which the master is licensed. A master will not knowingly supervise unlicensed persons who perform work covered under Iowa Code chapter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431.4(4)</w:t>
      </w:r>
      <w:r>
        <w:rPr>
          <w:rFonts w:ascii="Times New Roman" w:hAnsi="Times New Roman"/>
          <w:b w:val="false"/>
          <w:i w:val="false"/>
          <w:color w:val="000000"/>
          <w:sz w:val="22"/>
        </w:rPr>
        <w:t> </w:t>
      </w:r>
      <w:r>
        <w:rPr>
          <w:rFonts w:ascii="Times New Roman" w:hAnsi="Times New Roman"/>
          <w:b w:val="false"/>
          <w:i/>
          <w:color w:val="000000"/>
          <w:sz w:val="22"/>
        </w:rPr>
        <w:t xml:space="preserve">Master of record. </w:t>
      </w:r>
      <w:r>
        <w:rPr>
          <w:rFonts w:ascii="Times New Roman" w:hAnsi="Times New Roman"/>
          <w:b w:val="false"/>
          <w:i w:val="false"/>
          <w:color w:val="000000"/>
          <w:sz w:val="22"/>
        </w:rPr>
        <w:t>A master who serves as a master of record for a contractor and who disassociates from the contractor will notify the board and the contractor of the disassociation, if notice was not previously provided, within 30 days from the date of disassociation, absent exigent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481—431.5</w:t>
      </w:r>
      <w:r>
        <w:rPr>
          <w:rFonts w:ascii="Times New Roman" w:hAnsi="Times New Roman"/>
          <w:b/>
          <w:i w:val="false"/>
          <w:color w:val="000000"/>
          <w:sz w:val="22"/>
        </w:rPr>
        <w:t xml:space="preserve">(105) </w:t>
      </w:r>
      <w:r>
        <w:rPr>
          <w:rFonts w:ascii="Times New Roman" w:hAnsi="Times New Roman"/>
          <w:b/>
          <w:i w:val="false"/>
          <w:color w:val="000000"/>
          <w:sz w:val="22"/>
        </w:rPr>
        <w:t xml:space="preserve">Journeyperson license. </w:t>
      </w:r>
      <w:r>
        <w:rPr>
          <w:rFonts w:ascii="Times New Roman" w:hAnsi="Times New Roman"/>
          <w:b w:val="false"/>
          <w:i w:val="false"/>
          <w:color w:val="000000"/>
          <w:sz w:val="22"/>
        </w:rPr>
        <w:t xml:space="preserve">A journeyperson licensed under Iowa Code chapter </w:t>
      </w:r>
      <w:hyperlink r:id="rId2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A journeyperson will work under the supervision of a master licensed in the discipline of the work being performed in the design, installation, and repair of plumbing, mechanical, HVAC-refrigeration, or hydronic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 journeyperson will not knowingly perform work covered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A journeyperson who superintends one or more apprentices may only provide such supervision in the discipline(s) in which the journeyperson is licensed and only while performing work for the same contractor licensed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 journeyperson shall not knowingly supervise unlicensed persons who perform work covered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which a board-issued license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481—431.6</w:t>
      </w:r>
      <w:r>
        <w:rPr>
          <w:rFonts w:ascii="Times New Roman" w:hAnsi="Times New Roman"/>
          <w:b/>
          <w:i w:val="false"/>
          <w:color w:val="000000"/>
          <w:sz w:val="22"/>
        </w:rPr>
        <w:t xml:space="preserve">(105) </w:t>
      </w:r>
      <w:r>
        <w:rPr>
          <w:rFonts w:ascii="Times New Roman" w:hAnsi="Times New Roman"/>
          <w:b/>
          <w:i w:val="false"/>
          <w:color w:val="000000"/>
          <w:sz w:val="22"/>
        </w:rPr>
        <w:t xml:space="preserve">Apprentice license. </w:t>
      </w:r>
      <w:r>
        <w:rPr>
          <w:rFonts w:ascii="Times New Roman" w:hAnsi="Times New Roman"/>
          <w:b w:val="false"/>
          <w:i w:val="false"/>
          <w:color w:val="000000"/>
          <w:sz w:val="22"/>
        </w:rPr>
        <w:t xml:space="preserve">An apprentice licensed under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will adhere to the following mandates, the violation of which may give rise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431.6(1)</w:t>
      </w:r>
      <w:r>
        <w:rPr>
          <w:rFonts w:ascii="Times New Roman" w:hAnsi="Times New Roman"/>
          <w:b w:val="false"/>
          <w:i w:val="false"/>
          <w:color w:val="000000"/>
          <w:sz w:val="22"/>
        </w:rPr>
        <w:t> </w:t>
      </w:r>
      <w:r>
        <w:rPr>
          <w:rFonts w:ascii="Times New Roman" w:hAnsi="Times New Roman"/>
          <w:b w:val="false"/>
          <w:i/>
          <w:color w:val="000000"/>
          <w:sz w:val="22"/>
        </w:rPr>
        <w:t xml:space="preserve">Working under supervision. </w:t>
      </w:r>
      <w:r>
        <w:rPr>
          <w:rFonts w:ascii="Times New Roman" w:hAnsi="Times New Roman"/>
          <w:b w:val="false"/>
          <w:i w:val="false"/>
          <w:color w:val="000000"/>
          <w:sz w:val="22"/>
        </w:rPr>
        <w:t xml:space="preserve">An apprentice may only perform work covered under Iowa Code chapter </w:t>
      </w:r>
      <w:hyperlink r:id="rId2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under the supervision of a master or journeyperson.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431.6(2)</w:t>
      </w: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An apprentice will not knowingly perform work covered under Iowa Code chapter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for an unlicensed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431.6(3)</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barred.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481—431.7</w:t>
      </w:r>
      <w:r>
        <w:rPr>
          <w:rFonts w:ascii="Times New Roman" w:hAnsi="Times New Roman"/>
          <w:b/>
          <w:i w:val="false"/>
          <w:color w:val="000000"/>
          <w:sz w:val="22"/>
        </w:rPr>
        <w:t xml:space="preserve">(105) </w:t>
      </w:r>
      <w:r>
        <w:rPr>
          <w:rFonts w:ascii="Times New Roman" w:hAnsi="Times New Roman"/>
          <w:b/>
          <w:i w:val="false"/>
          <w:color w:val="000000"/>
          <w:sz w:val="22"/>
        </w:rPr>
        <w:t xml:space="preserve">Specialty licenses and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431.7(1)</w:t>
      </w:r>
      <w:r>
        <w:rPr>
          <w:rFonts w:ascii="Times New Roman" w:hAnsi="Times New Roman"/>
          <w:b w:val="false"/>
          <w:i w:val="false"/>
          <w:color w:val="000000"/>
          <w:sz w:val="22"/>
        </w:rPr>
        <w:t> </w:t>
      </w:r>
      <w:r>
        <w:rPr>
          <w:rFonts w:ascii="Times New Roman" w:hAnsi="Times New Roman"/>
          <w:b w:val="false"/>
          <w:i/>
          <w:color w:val="000000"/>
          <w:sz w:val="22"/>
        </w:rPr>
        <w:t xml:space="preserve">Medical gas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and who performs medical gas brazing will maintain the person’s brazing continuity.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medical gas certification will maintain the person’s valid certification issued from the National Inspection Testing Certification Corporation (NITC)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431.7(2)</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hearth systems specialty license will maintain the person’s valid certification issued from the National Fireplace Institute or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hearth systems specialty license allows a licensee to perform work in the installation of gas burning and solid fuel appliances that offer a decorative view of the flames, from the connector pipe to the shutoff valve located within three feet of the appliance. A hearth systems specialty license further allows for work in the venting systems associated with a hearth appliance, log lighters, gas log sets, fireplace inserts, and freestanding stoves. A hearth systems specialty license does not allow a licensee to install a shutoff valve or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hearth systems specialty license will not perform Iowa Code chapter </w:t>
      </w:r>
      <w:hyperlink r:id="rId2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431.7(3)</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holds a service technician HVAC specialty license by demonstrating the licensee possesses a valid certification from North American Technician Excellence,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or an equivalent authority approved by the board will maintain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technician HVAC specialty license allows a licensee to perform work from the appliance shutoff valve to the appliance and any part and component of the appliance, including the disconnection and reconnection of the existing appliance to the gas piping and the installation of a shutoff valve no more than three feet from the appliance. A service technician HVAC specialty license does not allow a licensee to perform any other mechanical or HVAC-refrigeration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service technician HVAC specialty license will not perform Iowa Code chapter </w:t>
      </w:r>
      <w:hyperlink r:id="rId2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431.7(4)</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disconnect/reconnect plumbing technician specialty license allows a licensee to perform work from the appliance shutoff valve or the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 A disconnect/reconnect plumbing technician specialty license does not allow a licensee to perform any other plumbing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disconnect/reconnect plumbing technician specialty license will not perform Iowa Code chapter </w:t>
      </w:r>
      <w:hyperlink r:id="rId3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431.7(5)</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school or college routine maintenance specialty license allows a licensee to perform routine maintenance within the scope of the licensee’s employment with a private school or college. For purposes of this subrule, “routine maintenance” means the maintenance, repair, or replacement of existing fixtures or parts of plumbing, mechanical, HVAC-refrigeration, sheet metal, or hydronic systems in which no changes in original design are made. Fixtures or parts do not include smoke and fire dampers or water, gas, or steam piping permanent repairs except for traps and strainers. Routine maintenance includes emergency repairs. Routine maintenance does not include the replacement of furnaces, boilers, cooling appliances, or water heaters more than 100 gallons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 private school or college routine maintenance specialty license will not perform Iowa Code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-covered work beyond the limited scope of the person’s specialty license, and will not perform work within the limited scope of the person’s specialty license unless the person can conform to the minimum standard of acceptable and prevailing practice of a licensee performing such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431.7(6)</w:t>
      </w:r>
      <w:r>
        <w:rPr>
          <w:rFonts w:ascii="Times New Roman" w:hAnsi="Times New Roman"/>
          <w:b w:val="false"/>
          <w:i w:val="false"/>
          <w:color w:val="000000"/>
          <w:sz w:val="22"/>
        </w:rPr>
        <w:t> </w:t>
      </w:r>
      <w:r>
        <w:rPr>
          <w:rFonts w:ascii="Times New Roman" w:hAnsi="Times New Roman"/>
          <w:b w:val="false"/>
          <w:i/>
          <w:color w:val="000000"/>
          <w:sz w:val="22"/>
        </w:rPr>
        <w:t xml:space="preserve">Dual licensure as an apprentice prohibited. </w:t>
      </w:r>
      <w:r>
        <w:rPr>
          <w:rFonts w:ascii="Times New Roman" w:hAnsi="Times New Roman"/>
          <w:b w:val="false"/>
          <w:i w:val="false"/>
          <w:color w:val="000000"/>
          <w:sz w:val="22"/>
        </w:rPr>
        <w:t>A licensee cannot simultaneously possess both an active apprentice license and an active specialty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481—431.8</w:t>
      </w:r>
      <w:r>
        <w:rPr>
          <w:rFonts w:ascii="Times New Roman" w:hAnsi="Times New Roman"/>
          <w:b/>
          <w:i w:val="false"/>
          <w:color w:val="000000"/>
          <w:sz w:val="22"/>
        </w:rPr>
        <w:t xml:space="preserve">(105) </w:t>
      </w:r>
      <w:r>
        <w:rPr>
          <w:rFonts w:ascii="Times New Roman" w:hAnsi="Times New Roman"/>
          <w:b/>
          <w:i w:val="false"/>
          <w:color w:val="000000"/>
          <w:sz w:val="22"/>
        </w:rPr>
        <w:t xml:space="preserve">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inactive license under </w:t>
      </w:r>
      <w:hyperlink r:id="rId32">
        <w:r>
          <w:rPr>
            <w:rStyle w:val="Hyperlink"/>
            <w:rFonts w:ascii="Times New Roman" w:hAnsi="Times New Roman"/>
            <w:b w:val="false"/>
            <w:i w:val="false"/>
            <w:color w:val="000000"/>
            <w:sz w:val="22"/>
          </w:rPr>
          <w:t>481—subrule 429.2(6)</w:t>
        </w:r>
      </w:hyperlink>
      <w:r>
        <w:rPr>
          <w:rFonts w:ascii="Times New Roman" w:hAnsi="Times New Roman"/>
          <w:b w:val="false"/>
          <w:i w:val="false"/>
          <w:color w:val="000000"/>
          <w:sz w:val="22"/>
        </w:rPr>
        <w:t xml:space="preserve"> will not perform any plumbing, mechanical, HVAC-refrigeration, sheet metal, or hydronic work for which licensure is mandated so long as the person’s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journeyperson/inactive master license under </w:t>
      </w:r>
      <w:hyperlink r:id="rId33">
        <w:r>
          <w:rPr>
            <w:rStyle w:val="Hyperlink"/>
            <w:rFonts w:ascii="Times New Roman" w:hAnsi="Times New Roman"/>
            <w:b w:val="false"/>
            <w:i w:val="false"/>
            <w:color w:val="000000"/>
            <w:sz w:val="22"/>
          </w:rPr>
          <w:t>481—subrule 429.2(5)</w:t>
        </w:r>
      </w:hyperlink>
      <w:r>
        <w:rPr>
          <w:rFonts w:ascii="Times New Roman" w:hAnsi="Times New Roman"/>
          <w:b w:val="false"/>
          <w:i w:val="false"/>
          <w:color w:val="000000"/>
          <w:sz w:val="22"/>
        </w:rPr>
        <w:t xml:space="preserve"> will not perform any plumbing, mechanical, HVAC-refrigeration, or hydronic work for which a master license is mandated so long as the person’s master license is held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431.8(3)</w:t>
      </w:r>
      <w:r>
        <w:rPr>
          <w:rFonts w:ascii="Times New Roman" w:hAnsi="Times New Roman"/>
          <w:b w:val="false"/>
          <w:i w:val="false"/>
          <w:color w:val="000000"/>
          <w:sz w:val="22"/>
        </w:rPr>
        <w:t> </w:t>
      </w:r>
      <w:r>
        <w:rPr>
          <w:rFonts w:ascii="Times New Roman" w:hAnsi="Times New Roman"/>
          <w:b w:val="false"/>
          <w:i w:val="false"/>
          <w:color w:val="000000"/>
          <w:sz w:val="22"/>
        </w:rPr>
        <w:t>Inactive specialty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an active specialty license under rule </w:t>
      </w:r>
      <w:hyperlink r:id="rId34">
        <w:r>
          <w:rPr>
            <w:rStyle w:val="Hyperlink"/>
            <w:rFonts w:ascii="Times New Roman" w:hAnsi="Times New Roman"/>
            <w:b w:val="false"/>
            <w:i w:val="false"/>
            <w:color w:val="000000"/>
            <w:sz w:val="22"/>
          </w:rPr>
          <w:t>481—431.7</w:t>
        </w:r>
      </w:hyperlink>
      <w:r>
        <w:rPr>
          <w:rFonts w:ascii="Times New Roman" w:hAnsi="Times New Roman"/>
          <w:b w:val="false"/>
          <w:i w:val="false"/>
          <w:color w:val="000000"/>
          <w:sz w:val="22"/>
        </w:rPr>
        <w:t xml:space="preserve">(105) will submit a written request to place the specialty license on inactive status in order to obtain an active apprentice license. The licensee will acknowledge that the licensee is unable to perform any work covered under Iowa Code chapter </w:t>
      </w:r>
      <w:hyperlink r:id="rId3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outside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6">
        <w:r>
          <w:rPr>
            <w:rStyle w:val="Hyperlink"/>
            <w:rFonts w:ascii="Times New Roman" w:hAnsi="Times New Roman"/>
            <w:b w:val="false"/>
            <w:i w:val="false"/>
            <w:color w:val="000000"/>
            <w:sz w:val="22"/>
          </w:rPr>
          <w:t>481—subrule 428.1(3)</w:t>
        </w:r>
      </w:hyperlink>
      <w:r>
        <w:rPr>
          <w:rFonts w:ascii="Times New Roman" w:hAnsi="Times New Roman"/>
          <w:b w:val="false"/>
          <w:i w:val="false"/>
          <w:color w:val="000000"/>
          <w:sz w:val="22"/>
        </w:rPr>
        <w:t>, a person possessing both an inactive specialty license and an active apprentice license need not pay a renewal fee for the inactive specialty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37">
        <w:r>
          <w:rPr>
            <w:rStyle w:val="Hyperlink"/>
            <w:rFonts w:ascii="Times New Roman" w:hAnsi="Times New Roman"/>
            <w:b w:val="false"/>
            <w:i w:val="false"/>
            <w:color w:val="000000"/>
            <w:sz w:val="22"/>
          </w:rPr>
          <w:t>481—subrule 432.2(2)</w:t>
        </w:r>
      </w:hyperlink>
      <w:r>
        <w:rPr>
          <w:rFonts w:ascii="Times New Roman" w:hAnsi="Times New Roman"/>
          <w:b w:val="false"/>
          <w:i w:val="false"/>
          <w:color w:val="000000"/>
          <w:sz w:val="22"/>
        </w:rPr>
        <w:t>, a person possessing an inactive specialty license and an active apprentice license need not obtain any continuing education hours for renewal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possessing both an inactive specialty license and an active apprentice license may surrender the apprentice license and reactivate the specialty license upon written request and payment of the fee for an active specialty license in the amount specified in </w:t>
      </w:r>
      <w:hyperlink r:id="rId38">
        <w:r>
          <w:rPr>
            <w:rStyle w:val="Hyperlink"/>
            <w:rFonts w:ascii="Times New Roman" w:hAnsi="Times New Roman"/>
            <w:b w:val="false"/>
            <w:i w:val="false"/>
            <w:color w:val="000000"/>
            <w:sz w:val="22"/>
          </w:rPr>
          <w:t>481—Chapter 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1218C</w:t>
      </w:r>
      <w:r>
        <w:rPr>
          <w:rFonts w:ascii="Times New Roman" w:hAnsi="Times New Roman"/>
          <w:b w:val="false"/>
          <w:i w:val="false"/>
          <w:color w:val="000000"/>
          <w:sz w:val="21"/>
        </w:rPr>
        <w:t xml:space="preserve"> (Notice ARC 0937C,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7992C</w:t>
      </w:r>
      <w:r>
        <w:rPr>
          <w:rFonts w:ascii="Times New Roman" w:hAnsi="Times New Roman"/>
          <w:b w:val="false"/>
          <w:i w:val="false"/>
          <w:color w:val="000000"/>
          <w:sz w:val="21"/>
        </w:rPr>
        <w:t xml:space="preserve"> (Notice ARC 7316C,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footerReference r:id="rId4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105.12.pdf" Type="http://schemas.openxmlformats.org/officeDocument/2006/relationships/hyperlink" Id="rId9"/>
    <Relationship TargetMode="External" Target="https://www.legis.iowa.gov/docs/ico/chapter/105.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105.pdf" Type="http://schemas.openxmlformats.org/officeDocument/2006/relationships/hyperlink" Id="rId12"/>
    <Relationship TargetMode="External" Target="https://www.legis.iowa.gov/docs/iac/rule/481.431.3.pdf" Type="http://schemas.openxmlformats.org/officeDocument/2006/relationships/hyperlink" Id="rId13"/>
    <Relationship TargetMode="External" Target="https://www.legis.iowa.gov/docs/iac/rule/481.431.3.pdf" Type="http://schemas.openxmlformats.org/officeDocument/2006/relationships/hyperlink" Id="rId14"/>
    <Relationship TargetMode="External" Target="https://www.legis.iowa.gov/docs/ico/chapter/91C.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105.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05.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105.pdf" Type="http://schemas.openxmlformats.org/officeDocument/2006/relationships/hyperlink" Id="rId28"/>
    <Relationship TargetMode="External" Target="https://www.legis.iowa.gov/docs/ico/chapter/105.pdf" Type="http://schemas.openxmlformats.org/officeDocument/2006/relationships/hyperlink" Id="rId29"/>
    <Relationship TargetMode="External" Target="https://www.legis.iowa.gov/docs/ico/chapter/105.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481.429.2.pdf" Type="http://schemas.openxmlformats.org/officeDocument/2006/relationships/hyperlink" Id="rId32"/>
    <Relationship TargetMode="External" Target="https://www.legis.iowa.gov/docs/iac/rule/481.429.2.pdf" Type="http://schemas.openxmlformats.org/officeDocument/2006/relationships/hyperlink" Id="rId33"/>
    <Relationship TargetMode="External" Target="https://www.legis.iowa.gov/docs/iac/rule/481.431.7.pdf" Type="http://schemas.openxmlformats.org/officeDocument/2006/relationships/hyperlink" Id="rId34"/>
    <Relationship TargetMode="External" Target="https://www.legis.iowa.gov/docs/ico/chapter/105.pdf" Type="http://schemas.openxmlformats.org/officeDocument/2006/relationships/hyperlink" Id="rId35"/>
    <Relationship TargetMode="External" Target="https://www.legis.iowa.gov/docs/iac/rule/481.428.1.pdf" Type="http://schemas.openxmlformats.org/officeDocument/2006/relationships/hyperlink" Id="rId36"/>
    <Relationship TargetMode="External" Target="https://www.legis.iowa.gov/docs/iac/rule/481.432.2.pdf" Type="http://schemas.openxmlformats.org/officeDocument/2006/relationships/hyperlink" Id="rId37"/>
    <Relationship TargetMode="External" Target="https://www.legis.iowa.gov/docs/iac/chapter/481.428.pdf" Type="http://schemas.openxmlformats.org/officeDocument/2006/relationships/hyperlink" Id="rId38"/>
    <Relationship TargetMode="External" Target="https://www.legis.iowa.gov/docs/ico/chapter/105.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