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430</w:t>
      </w:r>
    </w:p>
    <w:p>
      <w:pPr>
        <w:spacing w:before="0" w:after="0"/>
        <w:ind w:left="120"/>
        <w:jc w:val="center"/>
      </w:pPr>
      <w:r>
        <w:rPr>
          <w:rFonts w:ascii="Times New Roman" w:hAnsi="Times New Roman"/>
          <w:b w:val="false"/>
          <w:i w:val="false"/>
          <w:color w:val="000000"/>
          <w:sz w:val="21"/>
        </w:rPr>
        <w:t xml:space="preserve">PLUMBING AND MECHANICAL SYSTEMS BOARD—ALTERNATIVE </w:t>
      </w:r>
      <w:r>
        <w:br/>
      </w:r>
      <w:r>
        <w:rPr>
          <w:rFonts w:ascii="Times New Roman" w:hAnsi="Times New Roman"/>
          <w:b w:val="false"/>
          <w:i w:val="false"/>
          <w:color w:val="000000"/>
          <w:sz w:val="21"/>
        </w:rPr>
        <w:t>LICENSURE PATHWAYS</w:t>
      </w:r>
    </w:p>
    <w:p>
      <w:pPr>
        <w:spacing w:before="0" w:after="0"/>
        <w:ind w:left="120"/>
        <w:jc w:val="center"/>
      </w:pPr>
      <w:r>
        <w:rPr>
          <w:rFonts w:ascii="Times New Roman" w:hAnsi="Times New Roman"/>
          <w:b w:val="false"/>
          <w:i w:val="false"/>
          <w:color w:val="000000"/>
          <w:sz w:val="20"/>
        </w:rPr>
        <w:t>[Prior to 4/2/25, see Public Health Department[641] Ch 35]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481—430.1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105.2(2)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time”</w:t>
      </w:r>
      <w:r>
        <w:rPr>
          <w:rFonts w:ascii="Times New Roman" w:hAnsi="Times New Roman"/>
          <w:b w:val="false"/>
          <w:i w:val="false"/>
          <w:color w:val="000000"/>
          <w:sz w:val="22"/>
        </w:rPr>
        <w:t> </w:t>
      </w:r>
      <w:r>
        <w:rPr>
          <w:rFonts w:ascii="Times New Roman" w:hAnsi="Times New Roman"/>
          <w:b w:val="false"/>
          <w:i w:val="false"/>
          <w:color w:val="000000"/>
          <w:sz w:val="22"/>
        </w:rPr>
        <w:t>means a minimum of 1,700 hours of work in a one-year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“Issuing jurisdiction”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272C.12(5)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“Transferring jurisdiction”</w:t>
      </w:r>
      <w:r>
        <w:rPr>
          <w:rFonts w:ascii="Times New Roman" w:hAnsi="Times New Roman"/>
          <w:b w:val="false"/>
          <w:i w:val="false"/>
          <w:color w:val="000000"/>
          <w:sz w:val="22"/>
        </w:rPr>
        <w:t> </w:t>
      </w:r>
      <w:r>
        <w:rPr>
          <w:rFonts w:ascii="Times New Roman" w:hAnsi="Times New Roman"/>
          <w:b w:val="false"/>
          <w:i w:val="false"/>
          <w:color w:val="000000"/>
          <w:sz w:val="22"/>
        </w:rPr>
        <w:t>means the specific issuing jurisdiction on which an applicant relies to seek licensure in Iowa by verification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481—430.2</w:t>
      </w:r>
      <w:r>
        <w:rPr>
          <w:rFonts w:ascii="Times New Roman" w:hAnsi="Times New Roman"/>
          <w:b/>
          <w:i w:val="false"/>
          <w:color w:val="000000"/>
          <w:sz w:val="22"/>
        </w:rPr>
        <w:t xml:space="preserve">(105) </w:t>
      </w:r>
      <w:r>
        <w:rPr>
          <w:rFonts w:ascii="Times New Roman" w:hAnsi="Times New Roman"/>
          <w:b/>
          <w:i w:val="false"/>
          <w:color w:val="000000"/>
          <w:sz w:val="22"/>
        </w:rPr>
        <w:t xml:space="preserve">Reciprocity agreements. </w:t>
      </w:r>
      <w:r>
        <w:rPr>
          <w:rFonts w:ascii="Times New Roman" w:hAnsi="Times New Roman"/>
          <w:b w:val="false"/>
          <w:i w:val="false"/>
          <w:color w:val="000000"/>
          <w:sz w:val="22"/>
        </w:rPr>
        <w:t xml:space="preserve">The board may enter into licensing reciprocity agreements with other states in accordance with Iowa Code section </w:t>
      </w:r>
      <w:hyperlink r:id="rId7">
        <w:r>
          <w:rPr>
            <w:rStyle w:val="Hyperlink"/>
            <w:rFonts w:ascii="Times New Roman" w:hAnsi="Times New Roman"/>
            <w:b w:val="false"/>
            <w:i w:val="false"/>
            <w:color w:val="000000"/>
            <w:sz w:val="22"/>
          </w:rPr>
          <w:t>105.21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481—430.3</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Licensure by reciprocity. </w:t>
      </w:r>
      <w:r>
        <w:rPr>
          <w:rFonts w:ascii="Times New Roman" w:hAnsi="Times New Roman"/>
          <w:b w:val="false"/>
          <w:i w:val="false"/>
          <w:color w:val="000000"/>
          <w:sz w:val="22"/>
        </w:rPr>
        <w:t xml:space="preserve">A nonresident of Iowa seeking a reciprocal license under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applies on forms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430.3(1)</w:t>
      </w:r>
      <w:r>
        <w:rPr>
          <w:rFonts w:ascii="Times New Roman" w:hAnsi="Times New Roman"/>
          <w:b w:val="false"/>
          <w:i w:val="false"/>
          <w:color w:val="000000"/>
          <w:sz w:val="22"/>
        </w:rPr>
        <w:t> </w:t>
      </w:r>
      <w:r>
        <w:rPr>
          <w:rFonts w:ascii="Times New Roman" w:hAnsi="Times New Roman"/>
          <w:b w:val="false"/>
          <w:i/>
          <w:color w:val="000000"/>
          <w:sz w:val="22"/>
        </w:rPr>
        <w:t xml:space="preserve">Reciprocity criteria. </w:t>
      </w:r>
      <w:r>
        <w:rPr>
          <w:rFonts w:ascii="Times New Roman" w:hAnsi="Times New Roman"/>
          <w:b w:val="false"/>
          <w:i w:val="false"/>
          <w:color w:val="000000"/>
          <w:sz w:val="22"/>
        </w:rPr>
        <w:t>The board may issue a reciprocal license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a nonresident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a valid plumbing, mechanical, HVAC-refrigeration, sheet metal, or hydronic license from an issuing jurisdiction with which the board has entered into a reciprocity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paid the appropriate fee or fees set forth in </w:t>
      </w:r>
      <w:hyperlink r:id="rId9">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meets the minimum qualifications for licensure set forth in rule </w:t>
      </w:r>
      <w:hyperlink r:id="rId10">
        <w:r>
          <w:rPr>
            <w:rStyle w:val="Hyperlink"/>
            <w:rFonts w:ascii="Times New Roman" w:hAnsi="Times New Roman"/>
            <w:b w:val="false"/>
            <w:i w:val="false"/>
            <w:color w:val="000000"/>
            <w:sz w:val="22"/>
          </w:rPr>
          <w:t>481—429.4</w:t>
        </w:r>
      </w:hyperlink>
      <w:r>
        <w:rPr>
          <w:rFonts w:ascii="Times New Roman" w:hAnsi="Times New Roman"/>
          <w:b w:val="false"/>
          <w:i w:val="false"/>
          <w:color w:val="000000"/>
          <w:sz w:val="22"/>
        </w:rPr>
        <w:t>(105);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agrees to comply with all provisions of Iowa law and applicable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430.3(2)</w:t>
      </w:r>
      <w:r>
        <w:rPr>
          <w:rFonts w:ascii="Times New Roman" w:hAnsi="Times New Roman"/>
          <w:b w:val="false"/>
          <w:i w:val="false"/>
          <w:color w:val="000000"/>
          <w:sz w:val="22"/>
        </w:rPr>
        <w:t> </w:t>
      </w:r>
      <w:r>
        <w:rPr>
          <w:rFonts w:ascii="Times New Roman" w:hAnsi="Times New Roman"/>
          <w:b w:val="false"/>
          <w:i/>
          <w:color w:val="000000"/>
          <w:sz w:val="22"/>
        </w:rPr>
        <w:t xml:space="preserve">Denial of reciprocal license. </w:t>
      </w:r>
      <w:r>
        <w:rPr>
          <w:rFonts w:ascii="Times New Roman" w:hAnsi="Times New Roman"/>
          <w:b w:val="false"/>
          <w:i w:val="false"/>
          <w:color w:val="000000"/>
          <w:sz w:val="22"/>
        </w:rPr>
        <w:t>The board may refuse to issue a reciprocal license to an applicant otherwise qualified based upon a suspension, revocation, or other disciplinary action taken against the applicant by a licensing authority in this or another jurisdiction. For purposes of this subrule, a “disciplinary action” includes the voluntary surrender of a license to resolve a pending disciplinary investigation or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481—430.4</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person may seek licensure by verification if the criteria in Iowa Code section </w:t>
      </w:r>
      <w:hyperlink r:id="rId11">
        <w:r>
          <w:rPr>
            <w:rStyle w:val="Hyperlink"/>
            <w:rFonts w:ascii="Times New Roman" w:hAnsi="Times New Roman"/>
            <w:b w:val="false"/>
            <w:i w:val="false"/>
            <w:color w:val="000000"/>
            <w:sz w:val="22"/>
          </w:rPr>
          <w:t>272C.12(1)</w:t>
        </w:r>
      </w:hyperlink>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submits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appropriate fee or fees set forth in </w:t>
      </w:r>
      <w:hyperlink r:id="rId12">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transferring jurisdiction and sent directly from the transferring jurisdiction to the board, verifying that the applicant’s license, certificate, or registration in that jurisdiction complies with the conditions set forth in Iowa Code section </w:t>
      </w:r>
      <w:hyperlink r:id="rId13">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residency in the state of Iowa or proof of military member’s official permanent change of station. Proof of residency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document issued by the federal or state government;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board-approved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Proof of passing the applicable Iowa licensing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the applicant’s complete criminal record in accordance with </w:t>
      </w:r>
      <w:hyperlink r:id="rId14">
        <w:r>
          <w:rPr>
            <w:rStyle w:val="Hyperlink"/>
            <w:rFonts w:ascii="Times New Roman" w:hAnsi="Times New Roman"/>
            <w:b w:val="false"/>
            <w:i w:val="false"/>
            <w:color w:val="000000"/>
            <w:sz w:val="22"/>
          </w:rPr>
          <w:t>481—paragraph 429.5(4)</w:t>
        </w:r>
      </w:hyperlink>
      <w:r>
        <w:rPr>
          <w:rFonts w:ascii="Times New Roman" w:hAnsi="Times New Roman"/>
          <w:b w:val="false"/>
          <w:i/>
          <w:color w:val="000000"/>
          <w:sz w:val="22"/>
        </w:rPr>
        <w:t>“c,”</w:t>
      </w:r>
      <w:r>
        <w:rPr>
          <w:rFonts w:ascii="Times New Roman" w:hAnsi="Times New Roman"/>
          <w:b w:val="false"/>
          <w:i w:val="false"/>
          <w:color w:val="000000"/>
          <w:sz w:val="22"/>
        </w:rPr>
        <w:t xml:space="preserve"> including the applicant’s personal statement regarding whether each offense directly relates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any relevant disciplinary documents, if another issuing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 xml:space="preserve">If another issuing jurisdiction has taken disciplinary action against an applicant or if the applicant has a complaint, allegation, or investigation relating to unprofessional conduct pending before any regulating entity in another jurisdiction, the board will proceed according to Iowa Code section </w:t>
      </w:r>
      <w:hyperlink r:id="rId15">
        <w:r>
          <w:rPr>
            <w:rStyle w:val="Hyperlink"/>
            <w:rFonts w:ascii="Times New Roman" w:hAnsi="Times New Roman"/>
            <w:b w:val="false"/>
            <w:i w:val="false"/>
            <w:color w:val="000000"/>
            <w:sz w:val="22"/>
          </w:rPr>
          <w:t>272C.12(1)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 person whose license was revoked, or a person who voluntarily surrendered a license, in another issuing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430.4(4)</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licenses. </w:t>
      </w:r>
      <w:r>
        <w:rPr>
          <w:rFonts w:ascii="Times New Roman" w:hAnsi="Times New Roman"/>
          <w:b w:val="false"/>
          <w:i w:val="false"/>
          <w:color w:val="000000"/>
          <w:sz w:val="22"/>
        </w:rPr>
        <w:t xml:space="preserve">Applicants who satisfy all conditions for a license by verification under this rule, except for passing the applicable Iowa licensing examination, may be issued a temporary license in accordance with Iowa Code section </w:t>
      </w:r>
      <w:hyperlink r:id="rId16">
        <w:r>
          <w:rPr>
            <w:rStyle w:val="Hyperlink"/>
            <w:rFonts w:ascii="Times New Roman" w:hAnsi="Times New Roman"/>
            <w:b w:val="false"/>
            <w:i w:val="false"/>
            <w:color w:val="000000"/>
            <w:sz w:val="22"/>
          </w:rPr>
          <w:t>272C.12(3)</w:t>
        </w:r>
      </w:hyperlink>
      <w:r>
        <w:rPr>
          <w:rFonts w:ascii="Times New Roman" w:hAnsi="Times New Roman"/>
          <w:b w:val="false"/>
          <w:i/>
          <w:color w:val="000000"/>
          <w:sz w:val="22"/>
        </w:rPr>
        <w:t>“c.”</w:t>
      </w:r>
      <w:r>
        <w:rPr>
          <w:rFonts w:ascii="Times New Roman" w:hAnsi="Times New Roman"/>
          <w:b w:val="false"/>
          <w:i w:val="false"/>
          <w:color w:val="000000"/>
          <w:sz w:val="22"/>
        </w:rPr>
        <w:t xml:space="preserve"> If the temporary license expires, the applicant may not practice until the applicant submits proof of passing the applicable Iowa licensing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481—430.5</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Licensure by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430.5(1)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initial licensure who has relocated to Iowa from another jurisdiction that did not require a license to practice the profession may be eligible for an Iowa license if the applicant meets the conditions set forth in Iowa Code section </w:t>
      </w:r>
      <w:hyperlink r:id="rId17">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all other licensing criteria, including passing any necessary examinations. For each application submitted under this rule, the board will determine whether the applicant’s prior work experience was substantially similar to the applicable apprenticeship training that is required for individuals licensed under </w:t>
      </w:r>
      <w:hyperlink r:id="rId18">
        <w:r>
          <w:rPr>
            <w:rStyle w:val="Hyperlink"/>
            <w:rFonts w:ascii="Times New Roman" w:hAnsi="Times New Roman"/>
            <w:b w:val="false"/>
            <w:i w:val="false"/>
            <w:color w:val="000000"/>
            <w:sz w:val="22"/>
          </w:rPr>
          <w:t>481—Chapter 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an applicant’s prior work experience was not substantially similar to the scope of practice in Iowa, the applicant may submit a subsequent application for licensure by work experience if all of the following criteria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enrolls in an apprenticeship program approved by the United States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obtains a board-issued apprentice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successfully completes one year in the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430.5(2)</w:t>
      </w:r>
      <w:r>
        <w:rPr>
          <w:rFonts w:ascii="Times New Roman" w:hAnsi="Times New Roman"/>
          <w:b w:val="false"/>
          <w:i w:val="false"/>
          <w:color w:val="000000"/>
          <w:sz w:val="22"/>
        </w:rPr>
        <w:t> </w:t>
      </w:r>
      <w:r>
        <w:rPr>
          <w:rFonts w:ascii="Times New Roman" w:hAnsi="Times New Roman"/>
          <w:b w:val="false"/>
          <w:i/>
          <w:color w:val="000000"/>
          <w:sz w:val="22"/>
        </w:rPr>
        <w:t xml:space="preserve">Necessary documentation. </w:t>
      </w:r>
      <w:r>
        <w:rPr>
          <w:rFonts w:ascii="Times New Roman" w:hAnsi="Times New Roman"/>
          <w:b w:val="false"/>
          <w:i w:val="false"/>
          <w:color w:val="000000"/>
          <w:sz w:val="22"/>
        </w:rPr>
        <w:t>An applicant seeking to substitute work experience in lieu of satisfying applicable education or training criteria bears the burden of providing all of the following by submitting relevant documents as part of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Iowa residency,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document issued by the federal or state government;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board-approved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full-time work experience within the four years preceding the application for Iowa licensure, which demonstrates that the work experience was substantially similar to an applicable apprenticeship program approved by the United States Department of Labor. Proof of work experience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applicant’s prior employer or employers documenting the applicant’s dates of employment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paycheck or pay stub;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was self-employed, business documents filed with the secretary of state or other applicable business registry or regulatory agency in the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applicant’s work experience involved a substantially similar scope of practice to the practice in Iowa,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applicant detailing the scope of practice and stating how the work experience correlates to an applicable apprenticeship program approved by the United States Department of Labor;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or marketing materials detailing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that the other jurisdiction did not require a license to practice the profession,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Materials from a website operated by a governmental entity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Materials from a nationally recognized professional association applicable to the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105.21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8533B</w:t>
      </w:r>
      <w:r>
        <w:rPr>
          <w:rFonts w:ascii="Times New Roman" w:hAnsi="Times New Roman"/>
          <w:b w:val="false"/>
          <w:i w:val="false"/>
          <w:color w:val="000000"/>
          <w:sz w:val="21"/>
        </w:rPr>
        <w:t xml:space="preserve"> (Notice ARC 8365B,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1224C</w:t>
      </w:r>
      <w:r>
        <w:rPr>
          <w:rFonts w:ascii="Times New Roman" w:hAnsi="Times New Roman"/>
          <w:b w:val="false"/>
          <w:i w:val="false"/>
          <w:color w:val="000000"/>
          <w:sz w:val="21"/>
        </w:rPr>
        <w:t xml:space="preserve"> (Notice ARC 0930C,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6939C</w:t>
      </w:r>
      <w:r>
        <w:rPr>
          <w:rFonts w:ascii="Times New Roman" w:hAnsi="Times New Roman"/>
          <w:b w:val="false"/>
          <w:i w:val="false"/>
          <w:color w:val="000000"/>
          <w:sz w:val="21"/>
        </w:rPr>
        <w:t xml:space="preserve"> (Notice ARC 6646C, IAB 11/16/22)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8001C</w:t>
      </w:r>
      <w:r>
        <w:rPr>
          <w:rFonts w:ascii="Times New Roman" w:hAnsi="Times New Roman"/>
          <w:b w:val="false"/>
          <w:i w:val="false"/>
          <w:color w:val="000000"/>
          <w:sz w:val="21"/>
        </w:rPr>
        <w:t xml:space="preserve"> (Notice ARC 7322C,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footerReference r:id="rId2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272C.12.pdf" Type="http://schemas.openxmlformats.org/officeDocument/2006/relationships/hyperlink" Id="rId6"/>
    <Relationship TargetMode="External" Target="https://www.legis.iowa.gov/docs/ico/chapter/105.21.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ac/chapter/481.428.pdf" Type="http://schemas.openxmlformats.org/officeDocument/2006/relationships/hyperlink" Id="rId9"/>
    <Relationship TargetMode="External" Target="https://www.legis.iowa.gov/docs/iac/rule/481.429.4.pdf" Type="http://schemas.openxmlformats.org/officeDocument/2006/relationships/hyperlink" Id="rId10"/>
    <Relationship TargetMode="External" Target="https://www.legis.iowa.gov/docs/ico/chapter/272C.12.pdf" Type="http://schemas.openxmlformats.org/officeDocument/2006/relationships/hyperlink" Id="rId11"/>
    <Relationship TargetMode="External" Target="https://www.legis.iowa.gov/docs/iac/chapter/481.428.pdf" Type="http://schemas.openxmlformats.org/officeDocument/2006/relationships/hyperlink" Id="rId12"/>
    <Relationship TargetMode="External" Target="https://www.legis.iowa.gov/docs/ico/chapter/272C.12.pdf" Type="http://schemas.openxmlformats.org/officeDocument/2006/relationships/hyperlink" Id="rId13"/>
    <Relationship TargetMode="External" Target="https://www.legis.iowa.gov/docs/iac/rule/481.429.5.pdf" Type="http://schemas.openxmlformats.org/officeDocument/2006/relationships/hyperlink" Id="rId14"/>
    <Relationship TargetMode="External" Target="https://www.legis.iowa.gov/docs/ico/chapter/272C.12.pdf" Type="http://schemas.openxmlformats.org/officeDocument/2006/relationships/hyperlink" Id="rId15"/>
    <Relationship TargetMode="External" Target="https://www.legis.iowa.gov/docs/ico/chapter/272C.12.pdf" Type="http://schemas.openxmlformats.org/officeDocument/2006/relationships/hyperlink" Id="rId16"/>
    <Relationship TargetMode="External" Target="https://www.legis.iowa.gov/docs/ico/chapter/272C.13.pdf" Type="http://schemas.openxmlformats.org/officeDocument/2006/relationships/hyperlink" Id="rId17"/>
    <Relationship TargetMode="External" Target="https://www.legis.iowa.gov/docs/iac/chapter/481.429.pdf" Type="http://schemas.openxmlformats.org/officeDocument/2006/relationships/hyperlink" Id="rId18"/>
    <Relationship TargetMode="External" Target="https://www.legis.iowa.gov/docs/ico/chapter/105.21.pdf" Type="http://schemas.openxmlformats.org/officeDocument/2006/relationships/hyperlink" Id="rId19"/>
    <Relationship TargetMode="External" Target="https://www.legis.iowa.gov/docs/ico/chapter/272C.12.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