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427</w:t>
      </w:r>
    </w:p>
    <w:p>
      <w:pPr>
        <w:spacing w:before="0" w:after="0"/>
        <w:ind w:left="120"/>
        <w:jc w:val="center"/>
      </w:pPr>
      <w:r>
        <w:rPr>
          <w:rFonts w:ascii="Times New Roman" w:hAnsi="Times New Roman"/>
          <w:b w:val="false"/>
          <w:i w:val="false"/>
          <w:color w:val="000000"/>
          <w:sz w:val="21"/>
        </w:rPr>
        <w:t>PLUMBING AND MECHANICAL SYSTEMS BOARD—ADMINISTRATIVE AND REGULATORY AUTHORITY</w:t>
      </w:r>
    </w:p>
    <w:p>
      <w:pPr>
        <w:spacing w:before="0" w:after="0"/>
        <w:ind w:left="120"/>
        <w:jc w:val="center"/>
      </w:pPr>
      <w:r>
        <w:rPr>
          <w:rFonts w:ascii="Times New Roman" w:hAnsi="Times New Roman"/>
          <w:b w:val="false"/>
          <w:i w:val="false"/>
          <w:color w:val="000000"/>
          <w:sz w:val="20"/>
        </w:rPr>
        <w:t>[Prior to 4/2/25, see Public Health Department[641] 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481—427.1</w:t>
      </w:r>
      <w:r>
        <w:rPr>
          <w:rFonts w:ascii="Times New Roman" w:hAnsi="Times New Roman"/>
          <w:b/>
          <w:i w:val="false"/>
          <w:color w:val="000000"/>
          <w:sz w:val="22"/>
        </w:rPr>
        <w:t xml:space="preserve">(17A,105)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office”</w:t>
      </w:r>
      <w:r>
        <w:rPr>
          <w:rFonts w:ascii="Times New Roman" w:hAnsi="Times New Roman"/>
          <w:b w:val="false"/>
          <w:i w:val="false"/>
          <w:color w:val="000000"/>
          <w:sz w:val="22"/>
        </w:rPr>
        <w:t> </w:t>
      </w:r>
      <w:r>
        <w:rPr>
          <w:rFonts w:ascii="Times New Roman" w:hAnsi="Times New Roman"/>
          <w:b w:val="false"/>
          <w:i w:val="false"/>
          <w:color w:val="000000"/>
          <w:sz w:val="22"/>
        </w:rPr>
        <w:t>means the office of the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“Disciplinary proceeding”</w:t>
      </w:r>
      <w:r>
        <w:rPr>
          <w:rFonts w:ascii="Times New Roman" w:hAnsi="Times New Roman"/>
          <w:b w:val="false"/>
          <w:i w:val="false"/>
          <w:color w:val="000000"/>
          <w:sz w:val="22"/>
        </w:rPr>
        <w:t> </w:t>
      </w:r>
      <w:r>
        <w:rPr>
          <w:rFonts w:ascii="Times New Roman" w:hAnsi="Times New Roman"/>
          <w:b w:val="false"/>
          <w:i w:val="false"/>
          <w:color w:val="000000"/>
          <w:sz w:val="22"/>
        </w:rPr>
        <w:t>means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licensed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481—427.2</w:t>
      </w:r>
      <w:r>
        <w:rPr>
          <w:rFonts w:ascii="Times New Roman" w:hAnsi="Times New Roman"/>
          <w:b/>
          <w:i w:val="false"/>
          <w:color w:val="000000"/>
          <w:sz w:val="22"/>
        </w:rPr>
        <w:t xml:space="preserve">(17A,105)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 regard to the licensing and regulation of plumbers, mechanical professionals, and contractors. The mission of the board is to protect the public health, safety and welfare by licensing qualified individuals who provide services to consumers and by fair and consistent enforcement of the statutes and regulations of the licensure board. Responsibilities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427.2(1)</w:t>
      </w:r>
      <w:r>
        <w:rPr>
          <w:rFonts w:ascii="Times New Roman" w:hAnsi="Times New Roman"/>
          <w:b w:val="false"/>
          <w:i w:val="false"/>
          <w:color w:val="000000"/>
          <w:sz w:val="22"/>
        </w:rPr>
        <w:t> </w:t>
      </w:r>
      <w:r>
        <w:rPr>
          <w:rFonts w:ascii="Times New Roman" w:hAnsi="Times New Roman"/>
          <w:b w:val="false"/>
          <w:i w:val="false"/>
          <w:color w:val="000000"/>
          <w:sz w:val="22"/>
        </w:rPr>
        <w:t>Licensing of qualified applicants to operate as a contractor or work in the plumbing, mechanical, HVAC-refrigeration, sheet metal, or hydronic disciplines or work as a certified medical gas system installer or work in the specialty license disciplines developed by the board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481—427.3</w:t>
      </w:r>
      <w:r>
        <w:rPr>
          <w:rFonts w:ascii="Times New Roman" w:hAnsi="Times New Roman"/>
          <w:b/>
          <w:i w:val="false"/>
          <w:color w:val="000000"/>
          <w:sz w:val="22"/>
        </w:rPr>
        <w:t xml:space="preserve">(17A,105)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Membership of the board is as provided in Iowa Code section </w:t>
      </w:r>
      <w:hyperlink r:id="rId8">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427.3(2)</w:t>
      </w:r>
      <w:r>
        <w:rPr>
          <w:rFonts w:ascii="Times New Roman" w:hAnsi="Times New Roman"/>
          <w:b w:val="false"/>
          <w:i w:val="false"/>
          <w:color w:val="000000"/>
          <w:sz w:val="22"/>
        </w:rPr>
        <w:t> </w:t>
      </w:r>
      <w:r>
        <w:rPr>
          <w:rFonts w:ascii="Times New Roman" w:hAnsi="Times New Roman"/>
          <w:b w:val="false"/>
          <w:i w:val="false"/>
          <w:color w:val="000000"/>
          <w:sz w:val="22"/>
        </w:rPr>
        <w:t>The board will elect a chairperson, vice chairperson, and secretary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427.3(3)</w:t>
      </w:r>
      <w:r>
        <w:rPr>
          <w:rFonts w:ascii="Times New Roman" w:hAnsi="Times New Roman"/>
          <w:b w:val="false"/>
          <w:i w:val="false"/>
          <w:color w:val="000000"/>
          <w:sz w:val="22"/>
        </w:rPr>
        <w:t> </w:t>
      </w:r>
      <w:r>
        <w:rPr>
          <w:rFonts w:ascii="Times New Roman" w:hAnsi="Times New Roman"/>
          <w:b w:val="false"/>
          <w:i w:val="false"/>
          <w:color w:val="000000"/>
          <w:sz w:val="22"/>
        </w:rPr>
        <w:t>The board will hold at least four meetings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427.3(5)</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governed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will be conducted in accordance with Robert’s Rules of Order, 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427.3(6)</w:t>
      </w:r>
      <w:r>
        <w:rPr>
          <w:rFonts w:ascii="Times New Roman" w:hAnsi="Times New Roman"/>
          <w:b w:val="false"/>
          <w:i w:val="false"/>
          <w:color w:val="000000"/>
          <w:sz w:val="22"/>
        </w:rPr>
        <w:t> </w:t>
      </w:r>
      <w:r>
        <w:rPr>
          <w:rFonts w:ascii="Times New Roman" w:hAnsi="Times New Roman"/>
          <w:b w:val="false"/>
          <w:i w:val="false"/>
          <w:color w:val="000000"/>
          <w:sz w:val="22"/>
        </w:rPr>
        <w:t>The department will furnish the board with the necessary facilities and employees to perform the duties mandated by this chapter but shall be reimbursed for all costs incurred from funds appropriated to the board and subsequent fees from licensing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427.3(7)</w:t>
      </w:r>
      <w:r>
        <w:rPr>
          <w:rFonts w:ascii="Times New Roman" w:hAnsi="Times New Roman"/>
          <w:b w:val="false"/>
          <w:i w:val="false"/>
          <w:color w:val="000000"/>
          <w:sz w:val="22"/>
        </w:rPr>
        <w:t> </w:t>
      </w:r>
      <w:r>
        <w:rPr>
          <w:rFonts w:ascii="Times New Roman" w:hAnsi="Times New Roman"/>
          <w:b w:val="false"/>
          <w:i w:val="false"/>
          <w:color w:val="000000"/>
          <w:sz w:val="22"/>
        </w:rPr>
        <w:t>The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committees of the board, the members of which are appointed by the board chairperson and do not constitute a quorum of the board. The board chairperson appoints committee chairpersons.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pursuant to Iowa Code section </w:t>
      </w:r>
      <w:hyperlink r:id="rId1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Investigate alleged violations of statutes or rules that relate to operation as a contractor; work in the plumbing, mechanical, HVAC-refrigeration, sheet metal, or hydronic disciplines; work as a certified medical gas system installer; or work in the specialty license disciplines developed by the board upon receipt of a complaint or upon the board’s own initiation. The investigation will be based on information or evidence received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licensees that are limited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481—427.4</w:t>
      </w:r>
      <w:r>
        <w:rPr>
          <w:rFonts w:ascii="Times New Roman" w:hAnsi="Times New Roman"/>
          <w:b/>
          <w:i w:val="false"/>
          <w:color w:val="000000"/>
          <w:sz w:val="22"/>
        </w:rPr>
        <w:t xml:space="preserve">(17A,105) </w:t>
      </w:r>
      <w:r>
        <w:rPr>
          <w:rFonts w:ascii="Times New Roman" w:hAnsi="Times New Roman"/>
          <w:b/>
          <w:i w:val="false"/>
          <w:color w:val="000000"/>
          <w:sz w:val="22"/>
        </w:rPr>
        <w:t xml:space="preserve">Official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427.4(1)</w:t>
      </w:r>
      <w:r>
        <w:rPr>
          <w:rFonts w:ascii="Times New Roman" w:hAnsi="Times New Roman"/>
          <w:b w:val="false"/>
          <w:i w:val="false"/>
          <w:color w:val="000000"/>
          <w:sz w:val="22"/>
        </w:rPr>
        <w:t> </w:t>
      </w:r>
      <w:r>
        <w:rPr>
          <w:rFonts w:ascii="Times New Roman" w:hAnsi="Times New Roman"/>
          <w:b w:val="false"/>
          <w:i w:val="false"/>
          <w:color w:val="000000"/>
          <w:sz w:val="22"/>
        </w:rPr>
        <w:t>All official communications, including submissions and requests, should be addressed to the Plumbing and Mechanical Systems Board at its current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or address. Each licensee and licensed entity shall notify the board in writing of a change of name or change of current mailing address within 30 days after the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481—427.5</w:t>
      </w:r>
      <w:r>
        <w:rPr>
          <w:rFonts w:ascii="Times New Roman" w:hAnsi="Times New Roman"/>
          <w:b/>
          <w:i w:val="false"/>
          <w:color w:val="000000"/>
          <w:sz w:val="22"/>
        </w:rPr>
        <w:t xml:space="preserve">(21) </w:t>
      </w:r>
      <w:r>
        <w:rPr>
          <w:rFonts w:ascii="Times New Roman" w:hAnsi="Times New Roman"/>
          <w:b/>
          <w:i w:val="false"/>
          <w:color w:val="000000"/>
          <w:sz w:val="22"/>
        </w:rPr>
        <w:t xml:space="preserve">Public meetings. </w:t>
      </w:r>
      <w:r>
        <w:rPr>
          <w:rFonts w:ascii="Times New Roman" w:hAnsi="Times New Roman"/>
          <w:b w:val="false"/>
          <w:i w:val="false"/>
          <w:color w:val="000000"/>
          <w:sz w:val="22"/>
        </w:rPr>
        <w:t>Members of the public may be present during board meetings unless the board votes to hold a closed session. Dates and location of board meetings may be obtained through the board’s website or directly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427.5(1)</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Any additional time allowances will be at the discretion of the chairperson or acting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427.5(2)</w:t>
      </w:r>
      <w:r>
        <w:rPr>
          <w:rFonts w:ascii="Times New Roman" w:hAnsi="Times New Roman"/>
          <w:b w:val="false"/>
          <w:i w:val="false"/>
          <w:color w:val="000000"/>
          <w:sz w:val="22"/>
        </w:rPr>
        <w:t> </w:t>
      </w:r>
      <w:r>
        <w:rPr>
          <w:rFonts w:ascii="Times New Roman" w:hAnsi="Times New Roman"/>
          <w:b w:val="false"/>
          <w:i w:val="false"/>
          <w:color w:val="000000"/>
          <w:sz w:val="22"/>
        </w:rPr>
        <w:t>Persons who have not asked to address the board during the public comment period may raise their hands to be recognized by the chairperson. Acknowledgment and an opportunity to speak will be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427.5(3)</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427.5(4)</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or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Contested cases are governed by </w:t>
      </w:r>
      <w:hyperlink r:id="rId1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481—427.7</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427.7(1)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 xml:space="preserve">When a quorum of the board presides over the reception of evidence at a hearing, its decision is a final decision. A majority of the members constitutes a quorum. Final decisions will be served on the parties in accordance with 481—subrule </w:t>
      </w:r>
      <w:hyperlink r:id="rId12">
        <w:r>
          <w:rPr>
            <w:rStyle w:val="Hyperlink"/>
            <w:rFonts w:ascii="Times New Roman" w:hAnsi="Times New Roman"/>
            <w:b w:val="false"/>
            <w:i w:val="false"/>
            <w:color w:val="000000"/>
            <w:sz w:val="22"/>
          </w:rPr>
          <w:t>506.13(2)</w:t>
        </w:r>
      </w:hyperlink>
      <w:r>
        <w:rPr>
          <w:rFonts w:ascii="Times New Roman" w:hAnsi="Times New Roman"/>
          <w:b w:val="false"/>
          <w:i w:val="false"/>
          <w:color w:val="000000"/>
          <w:sz w:val="22"/>
        </w:rPr>
        <w:t xml:space="preserve">. Final decisions of the board, including consent agreements and consent orders, are public documents pursuant to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427.7(2)</w:t>
      </w:r>
      <w:r>
        <w:rPr>
          <w:rFonts w:ascii="Times New Roman" w:hAnsi="Times New Roman"/>
          <w:b w:val="false"/>
          <w:i w:val="false"/>
          <w:color w:val="000000"/>
          <w:sz w:val="22"/>
        </w:rPr>
        <w:t> </w:t>
      </w:r>
      <w:r>
        <w:rPr>
          <w:rFonts w:ascii="Times New Roman" w:hAnsi="Times New Roman"/>
          <w:b w:val="false"/>
          <w:i/>
          <w:color w:val="000000"/>
          <w:sz w:val="22"/>
        </w:rPr>
        <w:t xml:space="preserve">Proposed panel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w:t>
      </w:r>
      <w:r>
        <w:rPr>
          <w:rFonts w:ascii="Times New Roman" w:hAnsi="Times New Roman"/>
          <w:b w:val="false"/>
          <w:i w:val="false"/>
          <w:color w:val="000000"/>
          <w:sz w:val="22"/>
        </w:rPr>
        <w:t>When a panel of three specialists presides over the hearing, the panel will issue a proposed decision that will include findings of fact but will not include conclusions of law or any recommendation for or against the discipline for a licensee. A proposed decision of a panel of specialists, together with a transcript of the proceedings and the exhibits presented, will be reviewed by the board within 30 days of the date the proposed decision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w:t>
      </w:r>
      <w:r>
        <w:rPr>
          <w:rFonts w:ascii="Times New Roman" w:hAnsi="Times New Roman"/>
          <w:b w:val="false"/>
          <w:i w:val="false"/>
          <w:color w:val="000000"/>
          <w:sz w:val="22"/>
        </w:rPr>
        <w:t xml:space="preserve">When a panel of three or more board members presides over the hearing, the panel will issue a proposed decision that will include proposed findings of fact, conclusions of law, and the order. A proposed panel decision will be reviewed by the board within 30 days of the date the proposed panel decision was issued. A proposed panel decision becomes a final decision without further proceedings unless appealed in accordance with paragraph </w:t>
      </w:r>
      <w:hyperlink r:id="rId14">
        <w:r>
          <w:rPr>
            <w:rStyle w:val="Hyperlink"/>
            <w:rFonts w:ascii="Times New Roman" w:hAnsi="Times New Roman"/>
            <w:b w:val="false"/>
            <w:i w:val="false"/>
            <w:color w:val="000000"/>
            <w:sz w:val="22"/>
          </w:rPr>
          <w:t>427.7(2)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panel decisions. </w:t>
      </w:r>
      <w:r>
        <w:rPr>
          <w:rFonts w:ascii="Times New Roman" w:hAnsi="Times New Roman"/>
          <w:b w:val="false"/>
          <w:i w:val="false"/>
          <w:color w:val="000000"/>
          <w:sz w:val="22"/>
        </w:rPr>
        <w:t xml:space="preserve">A proposed panel decision pursuant to paragraph </w:t>
      </w:r>
      <w:hyperlink r:id="rId15">
        <w:r>
          <w:rPr>
            <w:rStyle w:val="Hyperlink"/>
            <w:rFonts w:ascii="Times New Roman" w:hAnsi="Times New Roman"/>
            <w:b w:val="false"/>
            <w:i w:val="false"/>
            <w:color w:val="000000"/>
            <w:sz w:val="22"/>
          </w:rPr>
          <w:t>427.7(2)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appealed to the full board by either party by serving on the executive officer, either in person or by certified mail, a notice of appeal within 30 days after service of the proposed decision on the appealing party. The notice of appeal shall specify the party initiating the appeal, the proposed decision or order appealed, the specific findings or conclusions to which exception is taken and any other exceptions to the decision or order,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will enter an order establishing a schedule for submission of briefs and oral argument. The parties shall serve their briefs on the board and shall furnish an additional copy to each party by first-class mail. Briefs will cite any applicable legal authority and specify relevant portions of the record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argument will be heard by the board unless waived by both parties. The time granted each party for oral argument will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 on appeal will be the entire record made before the hearing panel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481—427.8</w:t>
      </w:r>
      <w:r>
        <w:rPr>
          <w:rFonts w:ascii="Times New Roman" w:hAnsi="Times New Roman"/>
          <w:b/>
          <w:i w:val="false"/>
          <w:color w:val="000000"/>
          <w:sz w:val="22"/>
        </w:rPr>
        <w:t xml:space="preserve">(17A) </w:t>
      </w:r>
      <w:r>
        <w:rPr>
          <w:rFonts w:ascii="Times New Roman" w:hAnsi="Times New Roman"/>
          <w:b/>
          <w:i w:val="false"/>
          <w:color w:val="000000"/>
          <w:sz w:val="22"/>
        </w:rPr>
        <w:t xml:space="preserve">Client notification. </w:t>
      </w:r>
      <w:r>
        <w:rPr>
          <w:rFonts w:ascii="Times New Roman" w:hAnsi="Times New Roman"/>
          <w:b w:val="false"/>
          <w:i w:val="false"/>
          <w:color w:val="000000"/>
          <w:sz w:val="22"/>
        </w:rPr>
        <w:t>Within 15 days (or such other time period specifically ordered by the board) of the licensee’s receipt of the board’s final decision, whether entered by consent or following hearing, which suspends or revokes a license or accepts a voluntary surrender of a license to resolve a disciplinary case, the licensee shall notify in writing all current clients of the fact that the license has been suspended, revoked or voluntarily surrendered. Such notice shall advise clients to obtain alternative professional services. Within 30 days of receipt of the board’s final order, the licensee shall file with the board copies of the notices sent. Compliance with this requirement is a condition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8528B</w:t>
      </w:r>
      <w:r>
        <w:rPr>
          <w:rFonts w:ascii="Times New Roman" w:hAnsi="Times New Roman"/>
          <w:b w:val="false"/>
          <w:i w:val="false"/>
          <w:color w:val="000000"/>
          <w:sz w:val="21"/>
        </w:rPr>
        <w:t xml:space="preserve"> (Notice ARC 8360B,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1219C</w:t>
      </w:r>
      <w:r>
        <w:rPr>
          <w:rFonts w:ascii="Times New Roman" w:hAnsi="Times New Roman"/>
          <w:b w:val="false"/>
          <w:i w:val="false"/>
          <w:color w:val="000000"/>
          <w:sz w:val="21"/>
        </w:rPr>
        <w:t xml:space="preserve"> (Notice ARC 0936C,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7993C</w:t>
      </w:r>
      <w:r>
        <w:rPr>
          <w:rFonts w:ascii="Times New Roman" w:hAnsi="Times New Roman"/>
          <w:b w:val="false"/>
          <w:i w:val="false"/>
          <w:color w:val="000000"/>
          <w:sz w:val="21"/>
        </w:rPr>
        <w:t xml:space="preserve"> (Notice ARC 7317C,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[Filed Emergency ARC 0405D, IAB 7/8/26, effective 6/30/26]</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3.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ac/rule/481.506.13.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ac/rule/481.427.7.pdf" Type="http://schemas.openxmlformats.org/officeDocument/2006/relationships/hyperlink" Id="rId14"/>
    <Relationship TargetMode="External" Target="https://www.legis.iowa.gov/docs/iac/rule/481.427.7.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1.pdf" Type="http://schemas.openxmlformats.org/officeDocument/2006/relationships/hyperlink" Id="rId17"/>
    <Relationship TargetMode="External" Target="https://www.legis.iowa.gov/docs/ico/chapter/10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