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PSYCHIATRIC MEDICAL INSTITUTIONS FOR CHILDREN (PMIC)</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481—41.1</w:t>
      </w:r>
      <w:r>
        <w:rPr>
          <w:rFonts w:ascii="Times New Roman" w:hAnsi="Times New Roman"/>
          <w:b/>
          <w:i w:val="false"/>
          <w:color w:val="000000"/>
          <w:sz w:val="22"/>
        </w:rPr>
        <w:t xml:space="preserve">(135H)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135H.1</w:t>
        </w:r>
      </w:hyperlink>
      <w:r>
        <w:rPr>
          <w:rFonts w:ascii="Times New Roman" w:hAnsi="Times New Roman"/>
          <w:b w:val="false"/>
          <w:i w:val="false"/>
          <w:color w:val="000000"/>
          <w:sz w:val="22"/>
        </w:rPr>
        <w:t xml:space="preserve"> are incorporated herein. 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“Nurse practitioner”</w:t>
      </w:r>
      <w:r>
        <w:rPr>
          <w:rFonts w:ascii="Times New Roman" w:hAnsi="Times New Roman"/>
          <w:b w:val="false"/>
          <w:i w:val="false"/>
          <w:color w:val="000000"/>
          <w:sz w:val="22"/>
        </w:rPr>
        <w:t> </w:t>
      </w:r>
      <w:r>
        <w:rPr>
          <w:rFonts w:ascii="Times New Roman" w:hAnsi="Times New Roman"/>
          <w:b w:val="false"/>
          <w:i w:val="false"/>
          <w:color w:val="000000"/>
          <w:sz w:val="22"/>
        </w:rPr>
        <w:t>means a registered professional nurse who is currently licensed to practice in the state, who meets state requirements and is currently licensed to practice nursing under the nursing board[655] rules in the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under Iowa Code chapter </w:t>
      </w:r>
      <w:hyperlink r:id="rId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481—41.2</w:t>
      </w:r>
      <w:r>
        <w:rPr>
          <w:rFonts w:ascii="Times New Roman" w:hAnsi="Times New Roman"/>
          <w:b/>
          <w:i w:val="false"/>
          <w:color w:val="000000"/>
          <w:sz w:val="22"/>
        </w:rPr>
        <w:t xml:space="preserve">(135H) </w:t>
      </w:r>
      <w:r>
        <w:rPr>
          <w:rFonts w:ascii="Times New Roman" w:hAnsi="Times New Roman"/>
          <w:b/>
          <w:i w:val="false"/>
          <w:color w:val="000000"/>
          <w:sz w:val="22"/>
        </w:rPr>
        <w:t xml:space="preserve">Application for license. </w:t>
      </w:r>
      <w:r>
        <w:rPr>
          <w:rFonts w:ascii="Times New Roman" w:hAnsi="Times New Roman"/>
          <w:b w:val="false"/>
          <w:i w:val="false"/>
          <w:color w:val="000000"/>
          <w:sz w:val="22"/>
        </w:rPr>
        <w:t xml:space="preserve">In order to obtain an initial license for a PMIC, the applicant must comply with Iowa Code chapter </w:t>
      </w:r>
      <w:hyperlink r:id="rId7">
        <w:r>
          <w:rPr>
            <w:rStyle w:val="Hyperlink"/>
            <w:rFonts w:ascii="Times New Roman" w:hAnsi="Times New Roman"/>
            <w:b w:val="false"/>
            <w:i w:val="false"/>
            <w:color w:val="000000"/>
            <w:sz w:val="22"/>
          </w:rPr>
          <w:t>135H</w:t>
        </w:r>
      </w:hyperlink>
      <w:r>
        <w:rPr>
          <w:rFonts w:ascii="Times New Roman" w:hAnsi="Times New Roman"/>
          <w:b w:val="false"/>
          <w:i w:val="false"/>
          <w:color w:val="000000"/>
          <w:sz w:val="22"/>
        </w:rPr>
        <w:t xml:space="preserve"> and the rules in this chapter. Each applicant must submit the following documents to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completed Psychiatric Medical Institutions for Children 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copy of a department of human services license as a comprehensive residential care facility issued pursuant to Iowa Code section </w:t>
      </w:r>
      <w:hyperlink r:id="rId8">
        <w:r>
          <w:rPr>
            <w:rStyle w:val="Hyperlink"/>
            <w:rFonts w:ascii="Times New Roman" w:hAnsi="Times New Roman"/>
            <w:b w:val="false"/>
            <w:i w:val="false"/>
            <w:color w:val="000000"/>
            <w:sz w:val="22"/>
          </w:rPr>
          <w:t>237.3(2)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a copy of a license granted by the department of public health pursuant to Iowa Code section </w:t>
      </w:r>
      <w:hyperlink r:id="rId9">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as a facility which provides substance abuse treatment;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floor plan of each floor of the facility on 8½″ by 11″ paper showing: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Room areas in proportion;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Room dimensions;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Numbers for all rooms including bathrooms;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designation of use for each room;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Window and door locations;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photograph of the front and side elevation of the facility;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fee set forth in Iowa Code section </w:t>
      </w:r>
      <w:hyperlink r:id="rId10">
        <w:r>
          <w:rPr>
            <w:rStyle w:val="Hyperlink"/>
            <w:rFonts w:ascii="Times New Roman" w:hAnsi="Times New Roman"/>
            <w:b w:val="false"/>
            <w:i w:val="false"/>
            <w:color w:val="000000"/>
            <w:sz w:val="22"/>
          </w:rPr>
          <w:t>135H.5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Evidence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Accreditation in accordance with Iowa Code section </w:t>
      </w:r>
      <w:hyperlink r:id="rId11">
        <w:r>
          <w:rPr>
            <w:rStyle w:val="Hyperlink"/>
            <w:rFonts w:ascii="Times New Roman" w:hAnsi="Times New Roman"/>
            <w:b w:val="false"/>
            <w:i w:val="false"/>
            <w:color w:val="000000"/>
            <w:sz w:val="22"/>
          </w:rPr>
          <w:t>135H.6(1)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Department of public health certificate of need;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Approval of the department of human services in accordance with Iowa Code section </w:t>
      </w:r>
      <w:hyperlink r:id="rId12">
        <w:r>
          <w:rPr>
            <w:rStyle w:val="Hyperlink"/>
            <w:rFonts w:ascii="Times New Roman" w:hAnsi="Times New Roman"/>
            <w:b w:val="false"/>
            <w:i w:val="false"/>
            <w:color w:val="000000"/>
            <w:sz w:val="22"/>
          </w:rPr>
          <w:t>135H.6(1)</w:t>
        </w:r>
      </w:hyperlink>
      <w:r>
        <w:rPr>
          <w:rFonts w:ascii="Times New Roman" w:hAnsi="Times New Roman"/>
          <w:b w:val="false"/>
          <w:i/>
          <w:color w:val="000000"/>
          <w:sz w:val="22"/>
        </w:rPr>
        <w:t>“e”</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Compliance with the requirements of Iowa Code section 135H.6(1)</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135H.4</w:t>
        </w:r>
      </w:hyperlink>
      <w:r>
        <w:rPr>
          <w:rFonts w:ascii="Times New Roman" w:hAnsi="Times New Roman"/>
          <w:b w:val="false"/>
          <w:i w:val="false"/>
          <w:color w:val="000000"/>
          <w:sz w:val="22"/>
        </w:rPr>
        <w:t>,  </w:t>
      </w:r>
      <w:hyperlink r:id="rId14">
        <w:r>
          <w:rPr>
            <w:rStyle w:val="Hyperlink"/>
            <w:rFonts w:ascii="Times New Roman" w:hAnsi="Times New Roman"/>
            <w:b w:val="false"/>
            <w:i w:val="false"/>
            <w:color w:val="000000"/>
            <w:sz w:val="22"/>
          </w:rPr>
          <w:t>135H.5, and </w:t>
        </w:r>
      </w:hyperlink>
      <w:hyperlink r:id="rId15">
        <w:r>
          <w:rPr>
            <w:rStyle w:val="Hyperlink"/>
            <w:rFonts w:ascii="Times New Roman" w:hAnsi="Times New Roman"/>
            <w:b w:val="false"/>
            <w:i w:val="false"/>
            <w:color w:val="000000"/>
            <w:sz w:val="22"/>
          </w:rPr>
          <w:t>135H.6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481—41.3</w:t>
      </w:r>
      <w:r>
        <w:rPr>
          <w:rFonts w:ascii="Times New Roman" w:hAnsi="Times New Roman"/>
          <w:b/>
          <w:i w:val="false"/>
          <w:color w:val="000000"/>
          <w:sz w:val="22"/>
        </w:rPr>
        <w:t xml:space="preserve">(135H) </w:t>
      </w:r>
      <w:r>
        <w:rPr>
          <w:rFonts w:ascii="Times New Roman" w:hAnsi="Times New Roman"/>
          <w:b/>
          <w:i w:val="false"/>
          <w:color w:val="000000"/>
          <w:sz w:val="22"/>
        </w:rPr>
        <w:t xml:space="preserve">Renewal application or change of ownership. </w:t>
      </w:r>
      <w:r>
        <w:rPr>
          <w:rFonts w:ascii="Times New Roman" w:hAnsi="Times New Roman"/>
          <w:b w:val="false"/>
          <w:i w:val="false"/>
          <w:color w:val="000000"/>
          <w:sz w:val="22"/>
        </w:rPr>
        <w:t>In order to renew a license or change ownership of the psychiatric medical institution for children, the applicant must submit to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completed application form 30 days before the renewal date or before the date of the ownership change;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PMIC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Denial, suspension or revocation of a license. </w:t>
      </w:r>
      <w:r>
        <w:rPr>
          <w:rFonts w:ascii="Times New Roman" w:hAnsi="Times New Roman"/>
          <w:b w:val="false"/>
          <w:i w:val="false"/>
          <w:color w:val="000000"/>
          <w:sz w:val="22"/>
        </w:rPr>
        <w:t xml:space="preserve">The department may deny, suspend or revoke a PMIC license for any of the reasons set forth in Iowa Code section </w:t>
      </w:r>
      <w:hyperlink r:id="rId16">
        <w:r>
          <w:rPr>
            <w:rStyle w:val="Hyperlink"/>
            <w:rFonts w:ascii="Times New Roman" w:hAnsi="Times New Roman"/>
            <w:b w:val="false"/>
            <w:i w:val="false"/>
            <w:color w:val="000000"/>
            <w:sz w:val="22"/>
          </w:rPr>
          <w:t>135H.8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department will issue notice of denial, suspension or revocation by certified mail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 xml:space="preserve">When a license is denied, revoked or suspended, a hearing may be requested pursuant to </w:t>
      </w:r>
      <w:hyperlink r:id="rId17">
        <w:r>
          <w:rPr>
            <w:rStyle w:val="Hyperlink"/>
            <w:rFonts w:ascii="Times New Roman" w:hAnsi="Times New Roman"/>
            <w:b w:val="false"/>
            <w:i w:val="false"/>
            <w:color w:val="000000"/>
            <w:sz w:val="22"/>
          </w:rPr>
          <w:t>481—subrule 50.5(2)</w:t>
        </w:r>
      </w:hyperlink>
      <w:r>
        <w:rPr>
          <w:rFonts w:ascii="Times New Roman" w:hAnsi="Times New Roman"/>
          <w:b w:val="false"/>
          <w:i w:val="false"/>
          <w:color w:val="000000"/>
          <w:sz w:val="22"/>
        </w:rPr>
        <w:t xml:space="preserve"> and shall be conducted pursuant to rule </w:t>
      </w:r>
      <w:hyperlink r:id="rId18">
        <w:r>
          <w:rPr>
            <w:rStyle w:val="Hyperlink"/>
            <w:rFonts w:ascii="Times New Roman" w:hAnsi="Times New Roman"/>
            <w:b w:val="false"/>
            <w:i w:val="false"/>
            <w:color w:val="000000"/>
            <w:sz w:val="22"/>
          </w:rPr>
          <w:t>481—50.6</w:t>
        </w:r>
      </w:hyperlink>
      <w:r>
        <w:rPr>
          <w:rFonts w:ascii="Times New Roman" w:hAnsi="Times New Roman"/>
          <w:b w:val="false"/>
          <w:i w:val="false"/>
          <w:color w:val="000000"/>
          <w:sz w:val="22"/>
        </w:rPr>
        <w:t>(10A). During the appeal process, the status of a license shall remain as it was on the date the hearing was requested. The status shall not change until a final decision is rendered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135H.8</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135H.9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481—41.4</w:t>
      </w:r>
      <w:r>
        <w:rPr>
          <w:rFonts w:ascii="Times New Roman" w:hAnsi="Times New Roman"/>
          <w:b/>
          <w:i w:val="false"/>
          <w:color w:val="000000"/>
          <w:sz w:val="22"/>
        </w:rPr>
        <w:t xml:space="preserve">(135H) </w:t>
      </w:r>
      <w:r>
        <w:rPr>
          <w:rFonts w:ascii="Times New Roman" w:hAnsi="Times New Roman"/>
          <w:b/>
          <w:i w:val="false"/>
          <w:color w:val="000000"/>
          <w:sz w:val="22"/>
        </w:rPr>
        <w:t xml:space="preserve">Licenses for distinct parts. </w:t>
      </w:r>
      <w:r>
        <w:rPr>
          <w:rFonts w:ascii="Times New Roman" w:hAnsi="Times New Roman"/>
          <w:b w:val="false"/>
          <w:i w:val="false"/>
          <w:color w:val="000000"/>
          <w:sz w:val="22"/>
        </w:rPr>
        <w:t>Separate licenses may be issued for distinct parts of a health care facility which are clearly identifiable, containing contiguous rooms in a separate wing or building or on a separate floor of the facility, and which provide care and services of separate categories. The following requirements shall be met for licensing a distinct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serve only children who require the category of care and services immediately available within that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the standards, rules and regulations which pertain to the category for which a license is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val="false"/>
          <w:color w:val="000000"/>
          <w:sz w:val="22"/>
        </w:rPr>
        <w:t>The distinct part must be operationally and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val="false"/>
          <w:color w:val="000000"/>
          <w:sz w:val="22"/>
        </w:rPr>
        <w:t>A separate personal care staff with qualifications appropriate to the care and services offered must be regularly assigned and working in the distinct part under responsible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w:t>
      </w:r>
      <w:r>
        <w:rPr>
          <w:rFonts w:ascii="Times New Roman" w:hAnsi="Times New Roman"/>
          <w:b w:val="false"/>
          <w:i w:val="false"/>
          <w:color w:val="000000"/>
          <w:sz w:val="22"/>
        </w:rPr>
        <w:t> </w:t>
      </w:r>
      <w:r>
        <w:rPr>
          <w:rFonts w:ascii="Times New Roman" w:hAnsi="Times New Roman"/>
          <w:b w:val="false"/>
          <w:i w:val="false"/>
          <w:color w:val="000000"/>
          <w:sz w:val="22"/>
        </w:rPr>
        <w:t>Separately licensed distinct parts may have some services such as management, building maintenance, laundry and dietary in common with each other.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481—41.5</w:t>
      </w:r>
      <w:r>
        <w:rPr>
          <w:rFonts w:ascii="Times New Roman" w:hAnsi="Times New Roman"/>
          <w:b/>
          <w:i w:val="false"/>
          <w:color w:val="000000"/>
          <w:sz w:val="22"/>
        </w:rPr>
        <w:t xml:space="preserve">(135H) </w:t>
      </w:r>
      <w:r>
        <w:rPr>
          <w:rFonts w:ascii="Times New Roman" w:hAnsi="Times New Roman"/>
          <w:b/>
          <w:i w:val="false"/>
          <w:color w:val="000000"/>
          <w:sz w:val="22"/>
        </w:rPr>
        <w:t xml:space="preserve">Waivers. </w:t>
      </w:r>
      <w:r>
        <w:rPr>
          <w:rFonts w:ascii="Times New Roman" w:hAnsi="Times New Roman"/>
          <w:b w:val="false"/>
          <w:i w:val="false"/>
          <w:color w:val="000000"/>
          <w:sz w:val="22"/>
        </w:rPr>
        <w:t>Waivers from these rules may be granted by the director of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the need for a waiver has been established;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there is no danger to the health, safety, welfare or rights of any child.</w:t>
      </w:r>
    </w:p>
    <w:p>
      <w:pPr>
        <w:spacing w:before="0" w:after="0"/>
        <w:ind w:left="120"/>
        <w:jc w:val="both"/>
      </w:pPr>
      <w:r>
        <w:rPr>
          <w:rFonts w:ascii="Times New Roman" w:hAnsi="Times New Roman"/>
          <w:b w:val="false"/>
          <w:i w:val="false"/>
          <w:color w:val="000000"/>
          <w:sz w:val="22"/>
        </w:rPr>
        <w:t>The waiver will apply only to a specific PMIC.</w:t>
      </w:r>
    </w:p>
    <w:p>
      <w:pPr>
        <w:spacing w:before="0" w:after="0"/>
        <w:ind w:left="120"/>
        <w:jc w:val="both"/>
      </w:pPr>
      <w:r>
        <w:rPr>
          <w:rFonts w:ascii="Times New Roman" w:hAnsi="Times New Roman"/>
          <w:b w:val="false"/>
          <w:i w:val="false"/>
          <w:color w:val="000000"/>
          <w:sz w:val="22"/>
        </w:rPr>
        <w:t>Waivers shall be reviewed at the time of each licensure survey by the department to determine continuing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val="false"/>
          <w:color w:val="000000"/>
          <w:sz w:val="22"/>
        </w:rPr>
        <w:t>To request a waiver, the licensee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in writing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rule or rules from which a waiver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why compliance with the rule or rules cannot be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how the waiver is consistent with the individual program plans;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Demonstrate that the requested waiver will not endanger the health, safety, welfare or rights of any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waiver, the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 the rule from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Evaluate the requested waiver against the requirement of the rule to determine whether the request is necessary to meet the needs of the children;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Examine the effect of the requested waiver on the health, safety or welfare of the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481—41.6</w:t>
      </w:r>
      <w:r>
        <w:rPr>
          <w:rFonts w:ascii="Times New Roman" w:hAnsi="Times New Roman"/>
          <w:b/>
          <w:i w:val="false"/>
          <w:color w:val="000000"/>
          <w:sz w:val="22"/>
        </w:rPr>
        <w:t xml:space="preserve">(135H) </w:t>
      </w:r>
      <w:r>
        <w:rPr>
          <w:rFonts w:ascii="Times New Roman" w:hAnsi="Times New Roman"/>
          <w:b/>
          <w:i w:val="false"/>
          <w:color w:val="000000"/>
          <w:sz w:val="22"/>
        </w:rPr>
        <w:t xml:space="preserve">Notice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notified at the times stated when the following events are expected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Thirty days before addition, alteration or new construction is begun in the PMIC or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days in advance of closure of the PMIC or change in the category of license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of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val="false"/>
          <w:color w:val="000000"/>
          <w:sz w:val="22"/>
        </w:rPr>
        <w:t>Prior to the purchase, transfer, assignment or lease of a PMIC,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in writing of the pending sale, transfer, assignment or lease of the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in writing of the name and address of the prospective purchaser, transferee, assignee or lessee at least 30 days before the sale, transfer, assignment or lease is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481—41.7</w:t>
      </w:r>
      <w:r>
        <w:rPr>
          <w:rFonts w:ascii="Times New Roman" w:hAnsi="Times New Roman"/>
          <w:b/>
          <w:i w:val="false"/>
          <w:color w:val="000000"/>
          <w:sz w:val="22"/>
        </w:rPr>
        <w:t xml:space="preserve">(135H) </w:t>
      </w:r>
      <w:r>
        <w:rPr>
          <w:rFonts w:ascii="Times New Roman" w:hAnsi="Times New Roman"/>
          <w:b/>
          <w:i w:val="false"/>
          <w:color w:val="000000"/>
          <w:sz w:val="22"/>
        </w:rPr>
        <w:t xml:space="preserve">Inspection of complaints. </w:t>
      </w:r>
      <w:r>
        <w:rPr>
          <w:rFonts w:ascii="Times New Roman" w:hAnsi="Times New Roman"/>
          <w:b w:val="false"/>
          <w:i w:val="false"/>
          <w:color w:val="000000"/>
          <w:sz w:val="22"/>
        </w:rPr>
        <w:t>The department shall conduct a preliminary review of all complaints filed against a PMIC. Unless a complaint is determined to be intended as harassment or to be without reasonable basis, the department shall inspect the PMIC within 20 working days of receipt of the complaint.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135H.12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481—41.8</w:t>
      </w:r>
      <w:r>
        <w:rPr>
          <w:rFonts w:ascii="Times New Roman" w:hAnsi="Times New Roman"/>
          <w:b/>
          <w:i w:val="false"/>
          <w:color w:val="000000"/>
          <w:sz w:val="22"/>
        </w:rPr>
        <w:t xml:space="preserve">(135H) </w:t>
      </w:r>
      <w:r>
        <w:rPr>
          <w:rFonts w:ascii="Times New Roman" w:hAnsi="Times New Roman"/>
          <w:b/>
          <w:i w:val="false"/>
          <w:color w:val="000000"/>
          <w:sz w:val="22"/>
        </w:rPr>
        <w:t xml:space="preserve">General requirement. </w:t>
      </w:r>
      <w:r>
        <w:rPr>
          <w:rFonts w:ascii="Times New Roman" w:hAnsi="Times New Roman"/>
          <w:b w:val="false"/>
          <w:i w:val="false"/>
          <w:color w:val="000000"/>
          <w:sz w:val="22"/>
        </w:rPr>
        <w:t>Inpatient psychiatric services for recipients under age 21 must be provided under the direction of a physician.</w:t>
      </w:r>
    </w:p>
    <w:p>
      <w:pPr>
        <w:spacing w:before="0" w:after="0"/>
        <w:ind w:left="120"/>
        <w:jc w:val="both"/>
      </w:pPr>
      <w:r>
        <w:rPr>
          <w:rFonts w:ascii="Times New Roman" w:hAnsi="Times New Roman"/>
          <w:b w:val="false"/>
          <w:i w:val="false"/>
          <w:color w:val="000000"/>
          <w:sz w:val="22"/>
        </w:rPr>
        <w:t>When a resident has received services immediately before reaching age 21, services must be complete before the earlier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the recipient no longer requires services;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the recipient reaches age 22.</w:t>
      </w:r>
    </w:p>
    <w:p>
      <w:pPr>
        <w:spacing w:before="0" w:after="0"/>
        <w:ind w:left="120"/>
        <w:jc w:val="both"/>
      </w:pPr>
      <w:r>
        <w:rPr>
          <w:rFonts w:ascii="Times New Roman" w:hAnsi="Times New Roman"/>
          <w:b/>
          <w:i w:val="false"/>
          <w:color w:val="000000"/>
          <w:sz w:val="22"/>
        </w:rPr>
        <w:t>481—41.9</w:t>
      </w:r>
      <w:r>
        <w:rPr>
          <w:rFonts w:ascii="Times New Roman" w:hAnsi="Times New Roman"/>
          <w:b/>
          <w:i w:val="false"/>
          <w:color w:val="000000"/>
          <w:sz w:val="22"/>
        </w:rPr>
        <w:t xml:space="preserve">(135H) </w:t>
      </w:r>
      <w:r>
        <w:rPr>
          <w:rFonts w:ascii="Times New Roman" w:hAnsi="Times New Roman"/>
          <w:b/>
          <w:i w:val="false"/>
          <w:color w:val="000000"/>
          <w:sz w:val="22"/>
        </w:rPr>
        <w:t xml:space="preserve">Certification of need for services. </w:t>
      </w:r>
      <w:r>
        <w:rPr>
          <w:rFonts w:ascii="Times New Roman" w:hAnsi="Times New Roman"/>
          <w:b w:val="false"/>
          <w:i w:val="false"/>
          <w:color w:val="000000"/>
          <w:sz w:val="22"/>
        </w:rPr>
        <w:t>All recipients of services shall have written certification which ensures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Ambulatory care resources available in the community do not meet the treatment needs of the recipient;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Proper treatment of the recipient’s psychiatric condition requires services on an inpatient basis under the direction of a physician;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services can reasonably be expected to improve the recipient’s condition or prevent further regression so services will no longer be needed.</w:t>
      </w:r>
    </w:p>
    <w:p>
      <w:pPr>
        <w:spacing w:before="0" w:after="0"/>
        <w:ind w:left="120"/>
        <w:jc w:val="both"/>
      </w:pPr>
      <w:r>
        <w:rPr>
          <w:rFonts w:ascii="Times New Roman" w:hAnsi="Times New Roman"/>
          <w:b w:val="false"/>
          <w:i w:val="false"/>
          <w:color w:val="000000"/>
          <w:sz w:val="22"/>
        </w:rPr>
        <w:t>Certification of need shall be completed in accordance with 42 CFR Sections 441.152 and 441.153.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481—41.10</w:t>
      </w:r>
      <w:r>
        <w:rPr>
          <w:rFonts w:ascii="Times New Roman" w:hAnsi="Times New Roman"/>
          <w:b/>
          <w:i w:val="false"/>
          <w:color w:val="000000"/>
          <w:sz w:val="22"/>
        </w:rPr>
        <w:t xml:space="preserve">(135H) </w:t>
      </w:r>
      <w:r>
        <w:rPr>
          <w:rFonts w:ascii="Times New Roman" w:hAnsi="Times New Roman"/>
          <w:b/>
          <w:i w:val="false"/>
          <w:color w:val="000000"/>
          <w:sz w:val="22"/>
        </w:rPr>
        <w:t xml:space="preserve">Active treatment. </w:t>
      </w:r>
      <w:r>
        <w:rPr>
          <w:rFonts w:ascii="Times New Roman" w:hAnsi="Times New Roman"/>
          <w:b w:val="false"/>
          <w:i w:val="false"/>
          <w:color w:val="000000"/>
          <w:sz w:val="22"/>
        </w:rPr>
        <w:t xml:space="preserve">Inpatient psychiatric services must involve “active treatment,” which means implementation of a professionally developed and supervised individual plan of care as described in rule </w:t>
      </w:r>
      <w:hyperlink r:id="rId22">
        <w:r>
          <w:rPr>
            <w:rStyle w:val="Hyperlink"/>
            <w:rFonts w:ascii="Times New Roman" w:hAnsi="Times New Roman"/>
            <w:b w:val="false"/>
            <w:i w:val="false"/>
            <w:color w:val="000000"/>
            <w:sz w:val="22"/>
          </w:rPr>
          <w:t>481—41.12</w:t>
        </w:r>
      </w:hyperlink>
      <w:r>
        <w:rPr>
          <w:rFonts w:ascii="Times New Roman" w:hAnsi="Times New Roman"/>
          <w:b w:val="false"/>
          <w:i w:val="false"/>
          <w:color w:val="000000"/>
          <w:sz w:val="22"/>
        </w:rPr>
        <w:t>(135H). The plan of care shall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Developed and implemented no later than 14 days after admission;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Designed to achieve discharge from inpatient status at the earliest possible time.</w:t>
      </w:r>
    </w:p>
    <w:p>
      <w:pPr>
        <w:spacing w:before="0" w:after="0"/>
        <w:ind w:left="120"/>
        <w:jc w:val="both"/>
      </w:pPr>
      <w:r>
        <w:rPr>
          <w:rFonts w:ascii="Times New Roman" w:hAnsi="Times New Roman"/>
          <w:b/>
          <w:i w:val="false"/>
          <w:color w:val="000000"/>
          <w:sz w:val="22"/>
        </w:rPr>
        <w:t>481—41.11</w:t>
      </w:r>
      <w:r>
        <w:rPr>
          <w:rFonts w:ascii="Times New Roman" w:hAnsi="Times New Roman"/>
          <w:b/>
          <w:i w:val="false"/>
          <w:color w:val="000000"/>
          <w:sz w:val="22"/>
        </w:rPr>
        <w:t xml:space="preserve">(135H) </w:t>
      </w:r>
      <w:r>
        <w:rPr>
          <w:rFonts w:ascii="Times New Roman" w:hAnsi="Times New Roman"/>
          <w:b/>
          <w:i w:val="false"/>
          <w:color w:val="000000"/>
          <w:sz w:val="22"/>
        </w:rPr>
        <w:t xml:space="preserve">Individual plan of care. </w:t>
      </w:r>
      <w:r>
        <w:rPr>
          <w:rFonts w:ascii="Times New Roman" w:hAnsi="Times New Roman"/>
          <w:b w:val="false"/>
          <w:i w:val="false"/>
          <w:color w:val="000000"/>
          <w:sz w:val="22"/>
        </w:rPr>
        <w:t>“Individual plan of care” means a written plan developed for each child. The plan of care shall be designed to improve the condition of each child to the extent that inpatient care is no longer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w:t>
      </w:r>
      <w:r>
        <w:rPr>
          <w:rFonts w:ascii="Times New Roman" w:hAnsi="Times New Roman"/>
          <w:b w:val="false"/>
          <w:i w:val="false"/>
          <w:color w:val="000000"/>
          <w:sz w:val="22"/>
        </w:rPr>
        <w:t> </w:t>
      </w:r>
      <w:r>
        <w:rPr>
          <w:rFonts w:ascii="Times New Roman" w:hAnsi="Times New Roman"/>
          <w:b w:val="false"/>
          <w:i w:val="false"/>
          <w:color w:val="000000"/>
          <w:sz w:val="22"/>
        </w:rPr>
        <w:t>The plan of care must be based on a diagnostic evaluation that includes examination of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Psychological,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Behavioral,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Developmental aspects of the child’s situation.</w:t>
      </w:r>
    </w:p>
    <w:p>
      <w:pPr>
        <w:spacing w:before="0" w:after="0"/>
        <w:ind w:left="120"/>
        <w:jc w:val="both"/>
      </w:pPr>
      <w:r>
        <w:rPr>
          <w:rFonts w:ascii="Times New Roman" w:hAnsi="Times New Roman"/>
          <w:b w:val="false"/>
          <w:i w:val="false"/>
          <w:color w:val="000000"/>
          <w:sz w:val="22"/>
        </w:rPr>
        <w:t>The plan of care shall reflect the need for inpatient psychiatric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of care shall be developed by the team of professionals specified in rule </w:t>
      </w:r>
      <w:hyperlink r:id="rId23">
        <w:r>
          <w:rPr>
            <w:rStyle w:val="Hyperlink"/>
            <w:rFonts w:ascii="Times New Roman" w:hAnsi="Times New Roman"/>
            <w:b w:val="false"/>
            <w:i w:val="false"/>
            <w:color w:val="000000"/>
            <w:sz w:val="22"/>
          </w:rPr>
          <w:t>481—41.13</w:t>
        </w:r>
      </w:hyperlink>
      <w:r>
        <w:rPr>
          <w:rFonts w:ascii="Times New Roman" w:hAnsi="Times New Roman"/>
          <w:b w:val="false"/>
          <w:i w:val="false"/>
          <w:color w:val="000000"/>
          <w:sz w:val="22"/>
        </w:rPr>
        <w:t>(135H) in consultation with the recipient, the parents, legal guardian or other person into whose care the child will be released after discharge. The plan of care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Diagnoses, symptoms, complaints and complications indicating the need for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integrated program of therapies, activities and experiences designed to meet the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functional level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orders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Restorative and rehabilitative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Therapies,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Special procedures recommended for the health and safety of the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an appropriate time, postdischarge plans and coordination of inpatient services with partial discharge plans and related community services to ensure continuity of care with the recipient’s family, school and community upon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of care shall be reviewed every 30 days by the team referred to in rule </w:t>
      </w:r>
      <w:hyperlink r:id="rId24">
        <w:r>
          <w:rPr>
            <w:rStyle w:val="Hyperlink"/>
            <w:rFonts w:ascii="Times New Roman" w:hAnsi="Times New Roman"/>
            <w:b w:val="false"/>
            <w:i w:val="false"/>
            <w:color w:val="000000"/>
            <w:sz w:val="22"/>
          </w:rPr>
          <w:t>481—41.13</w:t>
        </w:r>
      </w:hyperlink>
      <w:r>
        <w:rPr>
          <w:rFonts w:ascii="Times New Roman" w:hAnsi="Times New Roman"/>
          <w:b w:val="false"/>
          <w:i w:val="false"/>
          <w:color w:val="000000"/>
          <w:sz w:val="22"/>
        </w:rPr>
        <w:t>(135H)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Determine that services being provided are or were required on an inpatient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Recommend changes in the plan as indicated by the recipient’s overall adjustment as an inpatient.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135H.3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481—41.12</w:t>
      </w:r>
      <w:r>
        <w:rPr>
          <w:rFonts w:ascii="Times New Roman" w:hAnsi="Times New Roman"/>
          <w:b/>
          <w:i w:val="false"/>
          <w:color w:val="000000"/>
          <w:sz w:val="22"/>
        </w:rPr>
        <w:t xml:space="preserve">(135H) </w:t>
      </w:r>
      <w:r>
        <w:rPr>
          <w:rFonts w:ascii="Times New Roman" w:hAnsi="Times New Roman"/>
          <w:b/>
          <w:i w:val="false"/>
          <w:color w:val="000000"/>
          <w:sz w:val="22"/>
        </w:rPr>
        <w:t xml:space="preserve">Individual written plan of care. </w:t>
      </w:r>
      <w:r>
        <w:rPr>
          <w:rFonts w:ascii="Times New Roman" w:hAnsi="Times New Roman"/>
          <w:b w:val="false"/>
          <w:i w:val="false"/>
          <w:color w:val="000000"/>
          <w:sz w:val="22"/>
        </w:rPr>
        <w:t>Before admission to a PMIC and before authorization for payment, the attending physician or staff physician must establish written plans for continuing care including review and modification of the plan of care.</w:t>
      </w:r>
    </w:p>
    <w:p>
      <w:pPr>
        <w:spacing w:before="0" w:after="0"/>
        <w:ind w:left="120"/>
        <w:jc w:val="both"/>
      </w:pPr>
      <w:r>
        <w:rPr>
          <w:rFonts w:ascii="Times New Roman" w:hAnsi="Times New Roman"/>
          <w:b/>
          <w:i w:val="false"/>
          <w:color w:val="000000"/>
          <w:sz w:val="22"/>
        </w:rPr>
        <w:t>481—41.13</w:t>
      </w:r>
      <w:r>
        <w:rPr>
          <w:rFonts w:ascii="Times New Roman" w:hAnsi="Times New Roman"/>
          <w:b/>
          <w:i w:val="false"/>
          <w:color w:val="000000"/>
          <w:sz w:val="22"/>
        </w:rPr>
        <w:t xml:space="preserve">(135H) </w:t>
      </w:r>
      <w:r>
        <w:rPr>
          <w:rFonts w:ascii="Times New Roman" w:hAnsi="Times New Roman"/>
          <w:b/>
          <w:i w:val="false"/>
          <w:color w:val="000000"/>
          <w:sz w:val="22"/>
        </w:rPr>
        <w:t xml:space="preserve">Plan of care team. </w:t>
      </w:r>
      <w:r>
        <w:rPr>
          <w:rFonts w:ascii="Times New Roman" w:hAnsi="Times New Roman"/>
          <w:b w:val="false"/>
          <w:i w:val="false"/>
          <w:color w:val="000000"/>
          <w:sz w:val="22"/>
        </w:rPr>
        <w:t>The individual plan of care shall be developed by an interdisciplinary team of physicians and other personnel who are employed by the facility or provide services to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w:t>
      </w:r>
      <w:r>
        <w:rPr>
          <w:rFonts w:ascii="Times New Roman" w:hAnsi="Times New Roman"/>
          <w:b w:val="false"/>
          <w:i w:val="false"/>
          <w:color w:val="000000"/>
          <w:sz w:val="22"/>
        </w:rPr>
        <w:t> </w:t>
      </w:r>
      <w:r>
        <w:rPr>
          <w:rFonts w:ascii="Times New Roman" w:hAnsi="Times New Roman"/>
          <w:b w:val="false"/>
          <w:i w:val="false"/>
          <w:color w:val="000000"/>
          <w:sz w:val="22"/>
        </w:rPr>
        <w:t>Based on education and experience, the team must be capable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Assessing the recipient’s immediate and long-range therapeutic needs, developmental priorities, and personal strengths and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Assessing the potential resources of the recipient’s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Setting treatment objectives;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Prescribing therapeutic modalities to achieve the plan’s objectives.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41.13(2)</w:t>
      </w:r>
      <w:r>
        <w:rPr>
          <w:rFonts w:ascii="Times New Roman" w:hAnsi="Times New Roman"/>
          <w:b w:val="false"/>
          <w:i w:val="false"/>
          <w:color w:val="000000"/>
          <w:sz w:val="22"/>
        </w:rPr>
        <w:t> </w:t>
      </w:r>
      <w:r>
        <w:rPr>
          <w:rFonts w:ascii="Times New Roman" w:hAnsi="Times New Roman"/>
          <w:b w:val="false"/>
          <w:i w:val="false"/>
          <w:color w:val="000000"/>
          <w:sz w:val="22"/>
        </w:rPr>
        <w:t>The team shall include at least one member who is experienced in child psychiatry or child psychology and must include, as a minimum,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board-eligible or board-certified psychiatrist;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clinical psychologist who has a doctoral degree and a physician licensed to practice medicine or osteopathy;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licensed to practice medicine or osteopathy with specialized training and experience in the diagnoses and treatment of mental diseases, and a psychologist who has a master’s degree in clinical psychology or who has been certified by the state psychological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w:t>
      </w:r>
      <w:r>
        <w:rPr>
          <w:rFonts w:ascii="Times New Roman" w:hAnsi="Times New Roman"/>
          <w:b w:val="false"/>
          <w:i w:val="false"/>
          <w:color w:val="000000"/>
          <w:sz w:val="22"/>
        </w:rPr>
        <w:t> </w:t>
      </w:r>
      <w:r>
        <w:rPr>
          <w:rFonts w:ascii="Times New Roman" w:hAnsi="Times New Roman"/>
          <w:b w:val="false"/>
          <w:i w:val="false"/>
          <w:color w:val="000000"/>
          <w:sz w:val="22"/>
        </w:rPr>
        <w:t>The team must also include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psychiatric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nurse with specialized training or one year of experience in treating mentally ill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occupational therapist who has specialized training in treating mentally ill individuals;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psychologist who has a master’s degree in clinical psychology or who has been certified by the state psychological association.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135H.3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481—41.14</w:t>
      </w:r>
      <w:r>
        <w:rPr>
          <w:rFonts w:ascii="Times New Roman" w:hAnsi="Times New Roman"/>
          <w:b/>
          <w:i w:val="false"/>
          <w:color w:val="000000"/>
          <w:sz w:val="22"/>
        </w:rPr>
        <w:t xml:space="preserve">(135H) </w:t>
      </w:r>
      <w:r>
        <w:rPr>
          <w:rFonts w:ascii="Times New Roman" w:hAnsi="Times New Roman"/>
          <w:b/>
          <w:i w:val="false"/>
          <w:color w:val="000000"/>
          <w:sz w:val="22"/>
        </w:rPr>
        <w:t xml:space="preserve">Required discharge. </w:t>
      </w:r>
      <w:r>
        <w:rPr>
          <w:rFonts w:ascii="Times New Roman" w:hAnsi="Times New Roman"/>
          <w:b w:val="false"/>
          <w:i w:val="false"/>
          <w:color w:val="000000"/>
          <w:sz w:val="22"/>
        </w:rPr>
        <w:t>The licensee shall not refuse to discharge a child when directed by the physician, parent or legal guardian unless so directed by the court.</w:t>
      </w:r>
    </w:p>
    <w:p>
      <w:pPr>
        <w:spacing w:before="0" w:after="0"/>
        <w:ind w:left="120"/>
        <w:jc w:val="both"/>
      </w:pPr>
      <w:r>
        <w:rPr>
          <w:rFonts w:ascii="Times New Roman" w:hAnsi="Times New Roman"/>
          <w:b/>
          <w:i w:val="false"/>
          <w:color w:val="000000"/>
          <w:sz w:val="22"/>
        </w:rPr>
        <w:t>481—41.15</w:t>
      </w:r>
      <w:r>
        <w:rPr>
          <w:rFonts w:ascii="Times New Roman" w:hAnsi="Times New Roman"/>
          <w:b/>
          <w:i w:val="false"/>
          <w:color w:val="000000"/>
          <w:sz w:val="22"/>
        </w:rPr>
        <w:t xml:space="preserve">(135H) </w:t>
      </w:r>
      <w:r>
        <w:rPr>
          <w:rFonts w:ascii="Times New Roman" w:hAnsi="Times New Roman"/>
          <w:b/>
          <w:i w:val="false"/>
          <w:color w:val="000000"/>
          <w:sz w:val="22"/>
        </w:rPr>
        <w:t xml:space="preserve">Criminal behavior involving children. </w:t>
      </w:r>
      <w:r>
        <w:rPr>
          <w:rFonts w:ascii="Times New Roman" w:hAnsi="Times New Roman"/>
          <w:b w:val="false"/>
          <w:i w:val="false"/>
          <w:color w:val="000000"/>
          <w:sz w:val="22"/>
        </w:rPr>
        <w:t>A person who has a record of a criminal conviction or a founded child abuse or dependent adult abuse shall not be licensed to operate, be employed by, or reside in a PMIC unless an evaluation of the crime or founded child or dependent adult abuse has been made by the department of human services which concludes that the crime or founded child or dependent adult abuse does not merit prohibition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41.15(1)</w:t>
      </w:r>
      <w:r>
        <w:rPr>
          <w:rFonts w:ascii="Times New Roman" w:hAnsi="Times New Roman"/>
          <w:b w:val="false"/>
          <w:i w:val="false"/>
          <w:color w:val="000000"/>
          <w:sz w:val="22"/>
        </w:rPr>
        <w:t> </w:t>
      </w:r>
      <w:r>
        <w:rPr>
          <w:rFonts w:ascii="Times New Roman" w:hAnsi="Times New Roman"/>
          <w:b w:val="false"/>
          <w:i w:val="false"/>
          <w:color w:val="000000"/>
          <w:sz w:val="22"/>
        </w:rPr>
        <w:t>A PMIC shall request that the department of human services (DHS) conduct a criminal and child abuse record check, when a person is being considered for licensure or for employment if the person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direct responsibility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access to a child when the child is alone;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41.15(2)</w:t>
      </w:r>
      <w:r>
        <w:rPr>
          <w:rFonts w:ascii="Times New Roman" w:hAnsi="Times New Roman"/>
          <w:b w:val="false"/>
          <w:i w:val="false"/>
          <w:color w:val="000000"/>
          <w:sz w:val="22"/>
        </w:rPr>
        <w:t> </w:t>
      </w:r>
      <w:r>
        <w:rPr>
          <w:rFonts w:ascii="Times New Roman" w:hAnsi="Times New Roman"/>
          <w:b w:val="false"/>
          <w:i w:val="false"/>
          <w:color w:val="000000"/>
          <w:sz w:val="22"/>
        </w:rPr>
        <w:t>A PMIC shall inform all new applicants for employment of the requirement for the criminal and child abuse record checks and the possibility of a dependent adult abuse record check. The PMIC shall obtain, from the applicant, a signed acknowledgment of the receipt of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w:t>
      </w:r>
      <w:r>
        <w:rPr>
          <w:rFonts w:ascii="Times New Roman" w:hAnsi="Times New Roman"/>
          <w:b w:val="false"/>
          <w:i w:val="false"/>
          <w:color w:val="000000"/>
          <w:sz w:val="22"/>
        </w:rPr>
        <w:t> </w:t>
      </w:r>
      <w:r>
        <w:rPr>
          <w:rFonts w:ascii="Times New Roman" w:hAnsi="Times New Roman"/>
          <w:b w:val="false"/>
          <w:i w:val="false"/>
          <w:color w:val="000000"/>
          <w:sz w:val="22"/>
        </w:rPr>
        <w:t>A PMIC shall include the following inquiry in an application for employment: “Do you have a record of founded child or dependent adult abuse or have you ever been convicted of a crime, in this state or any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w:t>
      </w:r>
      <w:r>
        <w:rPr>
          <w:rFonts w:ascii="Times New Roman" w:hAnsi="Times New Roman"/>
          <w:b w:val="false"/>
          <w:i w:val="false"/>
          <w:color w:val="000000"/>
          <w:sz w:val="22"/>
        </w:rPr>
        <w:t> </w:t>
      </w:r>
      <w:r>
        <w:rPr>
          <w:rFonts w:ascii="Times New Roman" w:hAnsi="Times New Roman"/>
          <w:b w:val="false"/>
          <w:i w:val="false"/>
          <w:color w:val="000000"/>
          <w:sz w:val="22"/>
        </w:rPr>
        <w:t>DHS will inform the PMIC of the results of the criminal, child abuse, and dependent adult abuse record checks. If a record of a criminal conviction or founded child or dependent adult abuse exists, the PMIC will be informed on Form 470-2310, “Record Check Evaluation.” The subject of the report shall complete that form and it shall be returned to DHS to request evaluation of the record to determine whether prohibition of the person’s licensure, employment, or residence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41.15(5)</w:t>
      </w:r>
      <w:r>
        <w:rPr>
          <w:rFonts w:ascii="Times New Roman" w:hAnsi="Times New Roman"/>
          <w:b w:val="false"/>
          <w:i w:val="false"/>
          <w:color w:val="000000"/>
          <w:sz w:val="22"/>
        </w:rPr>
        <w:t> </w:t>
      </w:r>
      <w:r>
        <w:rPr>
          <w:rFonts w:ascii="Times New Roman" w:hAnsi="Times New Roman"/>
          <w:b w:val="false"/>
          <w:i w:val="false"/>
          <w:color w:val="000000"/>
          <w:sz w:val="22"/>
        </w:rPr>
        <w:t>If the evaluation is not requested or if the DHS determines that the person has committed a crime or has a record of founded child abuse or dependent adult abuse which warrants prohibition of licensure, employment, or residence, the person shall not be licensed to operate, be employed by, or reside in a PMIC.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135H.7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481—41.16</w:t>
      </w:r>
      <w:r>
        <w:rPr>
          <w:rFonts w:ascii="Times New Roman" w:hAnsi="Times New Roman"/>
          <w:b/>
          <w:i w:val="false"/>
          <w:color w:val="000000"/>
          <w:sz w:val="22"/>
        </w:rPr>
        <w:t xml:space="preserve">(22,135H) </w:t>
      </w:r>
      <w:r>
        <w:rPr>
          <w:rFonts w:ascii="Times New Roman" w:hAnsi="Times New Roman"/>
          <w:b/>
          <w:i w:val="false"/>
          <w:color w:val="000000"/>
          <w:sz w:val="22"/>
        </w:rPr>
        <w:t xml:space="preserve">Confidential or open information. </w:t>
      </w:r>
      <w:r>
        <w:rPr>
          <w:rFonts w:ascii="Times New Roman" w:hAnsi="Times New Roman"/>
          <w:b w:val="false"/>
          <w:i w:val="false"/>
          <w:color w:val="000000"/>
          <w:sz w:val="22"/>
        </w:rPr>
        <w:t>The department maintains files for psychiatric medical institutions for children. These files are organized by facility name and contain both open and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41.16(1)</w:t>
      </w:r>
      <w:r>
        <w:rPr>
          <w:rFonts w:ascii="Times New Roman" w:hAnsi="Times New Roman"/>
          <w:b w:val="false"/>
          <w:i w:val="false"/>
          <w:color w:val="000000"/>
          <w:sz w:val="22"/>
        </w:rPr>
        <w:t> </w:t>
      </w:r>
      <w:r>
        <w:rPr>
          <w:rFonts w:ascii="Times New Roman" w:hAnsi="Times New Roman"/>
          <w:b w:val="false"/>
          <w:i w:val="false"/>
          <w:color w:val="000000"/>
          <w:sz w:val="22"/>
        </w:rPr>
        <w:t>Open information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 application and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Waiver requests and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findings of state license survey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of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Plans of correction submitted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Medicaid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Official notices of license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w:t>
      </w:r>
      <w:r>
        <w:rPr>
          <w:rFonts w:ascii="Times New Roman" w:hAnsi="Times New Roman"/>
          <w:b w:val="false"/>
          <w:i w:val="false"/>
          <w:color w:val="000000"/>
          <w:sz w:val="22"/>
        </w:rPr>
        <w:t> </w:t>
      </w:r>
      <w:r>
        <w:rPr>
          <w:rFonts w:ascii="Times New Roman" w:hAnsi="Times New Roman"/>
          <w:b w:val="false"/>
          <w:i w:val="false"/>
          <w:color w:val="000000"/>
          <w:sz w:val="22"/>
        </w:rPr>
        <w:t>Confidential information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Inspection or investigation information which does not comprise a final finding. This information may be made public in a proceeding concerning the denial, suspension or revocation of a license, under Iowa Code section </w:t>
      </w:r>
      <w:hyperlink r:id="rId28">
        <w:r>
          <w:rPr>
            <w:rStyle w:val="Hyperlink"/>
            <w:rFonts w:ascii="Times New Roman" w:hAnsi="Times New Roman"/>
            <w:b w:val="false"/>
            <w:i w:val="false"/>
            <w:color w:val="000000"/>
            <w:sz w:val="22"/>
          </w:rPr>
          <w:t>135H.8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and identities of all complainants;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children in all facilities, identifying information and the address of anyone other than an owner.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135H.11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135H.13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481—41.17</w:t>
      </w:r>
      <w:r>
        <w:rPr>
          <w:rFonts w:ascii="Times New Roman" w:hAnsi="Times New Roman"/>
          <w:b/>
          <w:i w:val="false"/>
          <w:color w:val="000000"/>
          <w:sz w:val="22"/>
        </w:rPr>
        <w:t xml:space="preserve">(135H) </w:t>
      </w:r>
      <w:r>
        <w:rPr>
          <w:rFonts w:ascii="Times New Roman" w:hAnsi="Times New Roman"/>
          <w:b/>
          <w:i w:val="false"/>
          <w:color w:val="000000"/>
          <w:sz w:val="22"/>
        </w:rPr>
        <w:t xml:space="preserve">Additional provisions concerning physical restraint. </w:t>
      </w:r>
      <w:r>
        <w:rPr>
          <w:rFonts w:ascii="Times New Roman" w:hAnsi="Times New Roman"/>
          <w:b w:val="false"/>
          <w:i w:val="false"/>
          <w:color w:val="000000"/>
          <w:sz w:val="22"/>
        </w:rPr>
        <w:t>If a PMIC uses a physical restraint, the following provisions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41.17(1)</w:t>
      </w:r>
      <w:r>
        <w:rPr>
          <w:rFonts w:ascii="Times New Roman" w:hAnsi="Times New Roman"/>
          <w:b w:val="false"/>
          <w:i w:val="false"/>
          <w:color w:val="000000"/>
          <w:sz w:val="22"/>
        </w:rPr>
        <w:t> </w:t>
      </w:r>
      <w:r>
        <w:rPr>
          <w:rFonts w:ascii="Times New Roman" w:hAnsi="Times New Roman"/>
          <w:b w:val="false"/>
          <w:i w:val="false"/>
          <w:color w:val="000000"/>
          <w:sz w:val="22"/>
        </w:rPr>
        <w:t>No employee shall use any prone restraints. For the purposes of this rule, “prone restraints” means those in which an individual is held face down on the floor. Employees who find themselves involved in the use of a prone restraint as the result of responding to an emergency must take immediate steps to end the prone restraint.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41.17(2)</w:t>
      </w:r>
      <w:r>
        <w:rPr>
          <w:rFonts w:ascii="Times New Roman" w:hAnsi="Times New Roman"/>
          <w:b w:val="false"/>
          <w:i w:val="false"/>
          <w:color w:val="000000"/>
          <w:sz w:val="22"/>
        </w:rPr>
        <w:t> </w:t>
      </w:r>
      <w:r>
        <w:rPr>
          <w:rFonts w:ascii="Times New Roman" w:hAnsi="Times New Roman"/>
          <w:b w:val="false"/>
          <w:i w:val="false"/>
          <w:color w:val="000000"/>
          <w:sz w:val="22"/>
        </w:rPr>
        <w:t>No employee shall use any restraint that obstructs the airway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41.17(3)</w:t>
      </w:r>
      <w:r>
        <w:rPr>
          <w:rFonts w:ascii="Times New Roman" w:hAnsi="Times New Roman"/>
          <w:b w:val="false"/>
          <w:i w:val="false"/>
          <w:color w:val="000000"/>
          <w:sz w:val="22"/>
        </w:rPr>
        <w:t> </w:t>
      </w:r>
      <w:r>
        <w:rPr>
          <w:rFonts w:ascii="Times New Roman" w:hAnsi="Times New Roman"/>
          <w:b w:val="false"/>
          <w:i w:val="false"/>
          <w:color w:val="000000"/>
          <w:sz w:val="22"/>
        </w:rPr>
        <w:t>If an employee physically restrains a resident who uses sign language or an augmentative mode of communication as the resident’s primary mode of communication, the resident shall be permitted to have the resident’s hands free of restraint for brief periods, unless an employee determines that such freedom appears likely to result in harm to self or others.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135H.4</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135H.5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8857B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chapter is intended to implement Iowa Code chapters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135H</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7/7/89—published 7/26/89, effective 7/7/89]</w:t>
      </w:r>
    </w:p>
    <w:p>
      <w:pPr>
        <w:spacing w:before="0" w:after="0"/>
        <w:ind w:left="120"/>
        <w:jc w:val="center"/>
      </w:pPr>
      <w:r>
        <w:rPr>
          <w:rFonts w:ascii="Times New Roman" w:hAnsi="Times New Roman"/>
          <w:b w:val="false"/>
          <w:i w:val="false"/>
          <w:color w:val="000000"/>
          <w:sz w:val="21"/>
        </w:rPr>
        <w:t>[Filed 1/19/90, Notice 7/26/89—published 2/7/90, effective 3/14/90]</w:t>
      </w:r>
    </w:p>
    <w:p>
      <w:pPr>
        <w:spacing w:before="0" w:after="0"/>
        <w:ind w:left="120"/>
        <w:jc w:val="center"/>
      </w:pPr>
      <w:r>
        <w:rPr>
          <w:rFonts w:ascii="Times New Roman" w:hAnsi="Times New Roman"/>
          <w:b w:val="false"/>
          <w:i w:val="false"/>
          <w:color w:val="000000"/>
          <w:sz w:val="21"/>
        </w:rPr>
        <w:t>[Filed emergency 10/26/90—published 11/14/90, effective 10/26/90</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2/1/91, Notice 12/12/90—published 2/20/91, effective 3/27/91]</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1/21/99, Notice 10/7/98—published 2/10/99, effective 3/17/99]</w:t>
      </w:r>
    </w:p>
    <w:p>
      <w:pPr>
        <w:spacing w:before="0" w:after="0"/>
        <w:ind w:left="120"/>
        <w:jc w:val="center"/>
      </w:pPr>
      <w:r>
        <w:rPr>
          <w:rFonts w:ascii="Times New Roman" w:hAnsi="Times New Roman"/>
          <w:b w:val="false"/>
          <w:i w:val="false"/>
          <w:color w:val="000000"/>
          <w:sz w:val="21"/>
        </w:rPr>
        <w:t>[Filed ARC 8857B</w:t>
      </w:r>
      <w:r>
        <w:rPr>
          <w:rFonts w:ascii="Times New Roman" w:hAnsi="Times New Roman"/>
          <w:b w:val="false"/>
          <w:i w:val="false"/>
          <w:color w:val="000000"/>
          <w:sz w:val="21"/>
        </w:rPr>
        <w:t xml:space="preserve"> (Notice ARC 8657B, IAB 4/7/10)</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6973C</w:t>
      </w:r>
      <w:r>
        <w:rPr>
          <w:rFonts w:ascii="Times New Roman" w:hAnsi="Times New Roman"/>
          <w:b w:val="false"/>
          <w:i w:val="false"/>
          <w:color w:val="000000"/>
          <w:sz w:val="21"/>
        </w:rPr>
        <w:t xml:space="preserve"> (Notice ARC 6813C,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Incorporated 11/28/90</w:t>
      </w:r>
    </w:p>
    <w:sectPr>
      <w:footerReference r:id="rId3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H.1.pdf" Type="http://schemas.openxmlformats.org/officeDocument/2006/relationships/hyperlink" Id="rId5"/>
    <Relationship TargetMode="External" Target="https://www.legis.iowa.gov/docs/ico/chapter/148C.pdf" Type="http://schemas.openxmlformats.org/officeDocument/2006/relationships/hyperlink" Id="rId6"/>
    <Relationship TargetMode="External" Target="https://www.legis.iowa.gov/docs/ico/chapter/135H.pdf" Type="http://schemas.openxmlformats.org/officeDocument/2006/relationships/hyperlink" Id="rId7"/>
    <Relationship TargetMode="External" Target="https://www.legis.iowa.gov/docs/ico/chapter/237.3.pdf" Type="http://schemas.openxmlformats.org/officeDocument/2006/relationships/hyperlink" Id="rId8"/>
    <Relationship TargetMode="External" Target="https://www.legis.iowa.gov/docs/ico/chapter/125.13.pdf" Type="http://schemas.openxmlformats.org/officeDocument/2006/relationships/hyperlink" Id="rId9"/>
    <Relationship TargetMode="External" Target="https://www.legis.iowa.gov/docs/ico/chapter/135H.5.pdf" Type="http://schemas.openxmlformats.org/officeDocument/2006/relationships/hyperlink" Id="rId10"/>
    <Relationship TargetMode="External" Target="https://www.legis.iowa.gov/docs/ico/chapter/135H.6.pdf" Type="http://schemas.openxmlformats.org/officeDocument/2006/relationships/hyperlink" Id="rId11"/>
    <Relationship TargetMode="External" Target="https://www.legis.iowa.gov/docs/ico/chapter/135H.6.pdf" Type="http://schemas.openxmlformats.org/officeDocument/2006/relationships/hyperlink" Id="rId12"/>
    <Relationship TargetMode="External" Target="https://www.legis.iowa.gov/docs/ico/chapter/135H.4.pdf" Type="http://schemas.openxmlformats.org/officeDocument/2006/relationships/hyperlink" Id="rId13"/>
    <Relationship TargetMode="External" Target="https://www.legis.iowa.gov/docs/ico/chapter/135H.5.pdf" Type="http://schemas.openxmlformats.org/officeDocument/2006/relationships/hyperlink" Id="rId14"/>
    <Relationship TargetMode="External" Target="https://www.legis.iowa.gov/docs/ico/chapter/135H.6.pdf" Type="http://schemas.openxmlformats.org/officeDocument/2006/relationships/hyperlink" Id="rId15"/>
    <Relationship TargetMode="External" Target="https://www.legis.iowa.gov/docs/ico/chapter/135H.8.pdf" Type="http://schemas.openxmlformats.org/officeDocument/2006/relationships/hyperlink" Id="rId16"/>
    <Relationship TargetMode="External" Target="https://www.legis.iowa.gov/docs/iac/rule/481.50.5.pdf" Type="http://schemas.openxmlformats.org/officeDocument/2006/relationships/hyperlink" Id="rId17"/>
    <Relationship TargetMode="External" Target="https://www.legis.iowa.gov/docs/iac/rule/481.50.6.pdf" Type="http://schemas.openxmlformats.org/officeDocument/2006/relationships/hyperlink" Id="rId18"/>
    <Relationship TargetMode="External" Target="https://www.legis.iowa.gov/docs/ico/chapter/135H.8.pdf" Type="http://schemas.openxmlformats.org/officeDocument/2006/relationships/hyperlink" Id="rId19"/>
    <Relationship TargetMode="External" Target="https://www.legis.iowa.gov/docs/ico/chapter/135H.9.pdf" Type="http://schemas.openxmlformats.org/officeDocument/2006/relationships/hyperlink" Id="rId20"/>
    <Relationship TargetMode="External" Target="https://www.legis.iowa.gov/docs/ico/chapter/135H.12.pdf" Type="http://schemas.openxmlformats.org/officeDocument/2006/relationships/hyperlink" Id="rId21"/>
    <Relationship TargetMode="External" Target="https://www.legis.iowa.gov/docs/iac/rule/481.41.12.pdf" Type="http://schemas.openxmlformats.org/officeDocument/2006/relationships/hyperlink" Id="rId22"/>
    <Relationship TargetMode="External" Target="https://www.legis.iowa.gov/docs/iac/rule/481.41.13.pdf" Type="http://schemas.openxmlformats.org/officeDocument/2006/relationships/hyperlink" Id="rId23"/>
    <Relationship TargetMode="External" Target="https://www.legis.iowa.gov/docs/iac/rule/481.41.13.pdf" Type="http://schemas.openxmlformats.org/officeDocument/2006/relationships/hyperlink" Id="rId24"/>
    <Relationship TargetMode="External" Target="https://www.legis.iowa.gov/docs/ico/chapter/135H.3.pdf" Type="http://schemas.openxmlformats.org/officeDocument/2006/relationships/hyperlink" Id="rId25"/>
    <Relationship TargetMode="External" Target="https://www.legis.iowa.gov/docs/ico/chapter/135H.3.pdf" Type="http://schemas.openxmlformats.org/officeDocument/2006/relationships/hyperlink" Id="rId26"/>
    <Relationship TargetMode="External" Target="https://www.legis.iowa.gov/docs/ico/chapter/135H.7.pdf" Type="http://schemas.openxmlformats.org/officeDocument/2006/relationships/hyperlink" Id="rId27"/>
    <Relationship TargetMode="External" Target="https://www.legis.iowa.gov/docs/ico/chapter/135H.8.pdf" Type="http://schemas.openxmlformats.org/officeDocument/2006/relationships/hyperlink" Id="rId28"/>
    <Relationship TargetMode="External" Target="https://www.legis.iowa.gov/docs/ico/chapter/22.11.pdf" Type="http://schemas.openxmlformats.org/officeDocument/2006/relationships/hyperlink" Id="rId29"/>
    <Relationship TargetMode="External" Target="https://www.legis.iowa.gov/docs/ico/chapter/135H.11.pdf" Type="http://schemas.openxmlformats.org/officeDocument/2006/relationships/hyperlink" Id="rId30"/>
    <Relationship TargetMode="External" Target="https://www.legis.iowa.gov/docs/ico/chapter/135H.13.pdf" Type="http://schemas.openxmlformats.org/officeDocument/2006/relationships/hyperlink" Id="rId31"/>
    <Relationship TargetMode="External" Target="https://www.legis.iowa.gov/docs/ico/chapter/135H.4.pdf" Type="http://schemas.openxmlformats.org/officeDocument/2006/relationships/hyperlink" Id="rId32"/>
    <Relationship TargetMode="External" Target="https://www.legis.iowa.gov/docs/ico/chapter/135H.5.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22.pdf" Type="http://schemas.openxmlformats.org/officeDocument/2006/relationships/hyperlink" Id="rId35"/>
    <Relationship TargetMode="External" Target="https://www.legis.iowa.gov/docs/ico/chapter/135H.pdf" Type="http://schemas.openxmlformats.org/officeDocument/2006/relationships/hyperlink" Id="rId36"/>
    <Relationship Target="footer.xml" Type="http://schemas.openxmlformats.org/officeDocument/2006/relationships/footer" Id="rId3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