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p>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395</w:t>
      </w:r>
    </w:p>
    <w:p>
      <w:pPr>
        <w:spacing w:before="0" w:after="0"/>
        <w:ind w:left="120"/>
        <w:jc w:val="center"/>
      </w:pPr>
      <w:r>
        <w:rPr>
          <w:rFonts w:ascii="Times New Roman" w:hAnsi="Times New Roman"/>
          <w:b w:val="false"/>
          <w:i w:val="false"/>
          <w:color w:val="000000"/>
          <w:sz w:val="21"/>
        </w:rPr>
        <w:t>UNFIRED STEAM PRESSURE VESSELS</w:t>
      </w:r>
    </w:p>
    <w:p>
      <w:pPr>
        <w:spacing w:before="0" w:after="0"/>
        <w:ind w:left="120"/>
        <w:jc w:val="center"/>
      </w:pPr>
      <w:r>
        <w:rPr>
          <w:rFonts w:ascii="Times New Roman" w:hAnsi="Times New Roman"/>
          <w:b w:val="false"/>
          <w:i w:val="false"/>
          <w:color w:val="000000"/>
          <w:sz w:val="20"/>
        </w:rPr>
        <w:t>[Prior to 9/24/86, Labor, Bureau of[530] Ch 209]</w:t>
      </w:r>
    </w:p>
    <w:p>
      <w:pPr>
        <w:spacing w:before="0" w:after="0"/>
        <w:ind w:left="120"/>
        <w:jc w:val="center"/>
      </w:pPr>
      <w:r>
        <w:rPr>
          <w:rFonts w:ascii="Times New Roman" w:hAnsi="Times New Roman"/>
          <w:b w:val="false"/>
          <w:i w:val="false"/>
          <w:color w:val="000000"/>
          <w:sz w:val="20"/>
        </w:rPr>
        <w:t>[Prior to 1/14/98, see Labor Services[347] Ch 48]</w:t>
      </w:r>
    </w:p>
    <w:p>
      <w:pPr>
        <w:spacing w:before="0" w:after="0"/>
        <w:ind w:left="120"/>
        <w:jc w:val="center"/>
      </w:pPr>
      <w:r>
        <w:rPr>
          <w:rFonts w:ascii="Times New Roman" w:hAnsi="Times New Roman"/>
          <w:b w:val="false"/>
          <w:i w:val="false"/>
          <w:color w:val="000000"/>
          <w:sz w:val="20"/>
        </w:rPr>
        <w:t>[Prior to 8/16/06, see 875—Ch 209]</w:t>
      </w:r>
    </w:p>
    <w:p>
      <w:pPr>
        <w:spacing w:before="0" w:after="0"/>
        <w:ind w:left="120"/>
        <w:jc w:val="center"/>
      </w:pPr>
      <w:r>
        <w:rPr>
          <w:rFonts w:ascii="Times New Roman" w:hAnsi="Times New Roman"/>
          <w:b w:val="false"/>
          <w:i w:val="false"/>
          <w:color w:val="000000"/>
          <w:sz w:val="20"/>
        </w:rPr>
        <w:t>[Prior to 7/9/25, see Labor Services Division[875] Ch 96]</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3/26/30</w:t>
      </w:r>
    </w:p>
    <w:p>
      <w:pPr>
        <w:spacing w:before="0" w:after="0"/>
        <w:ind w:left="120"/>
        <w:jc w:val="both"/>
      </w:pPr>
      <w:r>
        <w:rPr>
          <w:rFonts w:ascii="Times New Roman" w:hAnsi="Times New Roman"/>
          <w:b/>
          <w:i w:val="false"/>
          <w:color w:val="000000"/>
          <w:sz w:val="22"/>
        </w:rPr>
        <w:t>481—395.1</w:t>
      </w:r>
      <w:r>
        <w:rPr>
          <w:rFonts w:ascii="Times New Roman" w:hAnsi="Times New Roman"/>
          <w:b/>
          <w:i w:val="false"/>
          <w:color w:val="000000"/>
          <w:sz w:val="22"/>
        </w:rPr>
        <w:t xml:space="preserve">(89) </w:t>
      </w:r>
      <w:r>
        <w:rPr>
          <w:rFonts w:ascii="Times New Roman" w:hAnsi="Times New Roman"/>
          <w:b/>
          <w:i w:val="false"/>
          <w:color w:val="000000"/>
          <w:sz w:val="22"/>
        </w:rPr>
        <w:t xml:space="preserve">Codes adopted by reference. </w:t>
      </w:r>
      <w:r>
        <w:rPr>
          <w:rFonts w:ascii="Times New Roman" w:hAnsi="Times New Roman"/>
          <w:b w:val="false"/>
          <w:i w:val="false"/>
          <w:color w:val="000000"/>
          <w:sz w:val="22"/>
        </w:rPr>
        <w:t xml:space="preserve">The codes listed in </w:t>
      </w:r>
      <w:hyperlink r:id="rId5">
        <w:r>
          <w:rPr>
            <w:rStyle w:val="Hyperlink"/>
            <w:rFonts w:ascii="Times New Roman" w:hAnsi="Times New Roman"/>
            <w:b w:val="false"/>
            <w:i w:val="false"/>
            <w:color w:val="000000"/>
            <w:sz w:val="22"/>
          </w:rPr>
          <w:t>481—Chapter 391</w:t>
        </w:r>
      </w:hyperlink>
      <w:r>
        <w:rPr>
          <w:rFonts w:ascii="Times New Roman" w:hAnsi="Times New Roman"/>
          <w:b w:val="false"/>
          <w:i w:val="false"/>
          <w:color w:val="000000"/>
          <w:sz w:val="22"/>
        </w:rPr>
        <w:t xml:space="preserve"> apply to objects covered by this chapter.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8891C</w:t>
      </w:r>
      <w:r>
        <w:rPr>
          <w:rFonts w:ascii="Times New Roman" w:hAnsi="Times New Roman"/>
          <w:b w:val="false"/>
          <w:i w:val="false"/>
          <w:color w:val="000000"/>
          <w:sz w:val="16"/>
        </w:rPr>
        <w:t>, IAB 2/19/25, effective 3/26/25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7/9/25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481—395.2</w:t>
      </w:r>
      <w:r>
        <w:rPr>
          <w:rFonts w:ascii="Times New Roman" w:hAnsi="Times New Roman"/>
          <w:b/>
          <w:i w:val="false"/>
          <w:color w:val="000000"/>
          <w:sz w:val="22"/>
        </w:rPr>
        <w:t xml:space="preserve">(89) </w:t>
      </w:r>
      <w:r>
        <w:rPr>
          <w:rFonts w:ascii="Times New Roman" w:hAnsi="Times New Roman"/>
          <w:b/>
          <w:i w:val="false"/>
          <w:color w:val="000000"/>
          <w:sz w:val="22"/>
        </w:rPr>
        <w:t xml:space="preserve">Objects installed prior to July 1, 1983—requirements. </w:t>
      </w:r>
    </w:p>
    <w:p>
      <w:pPr>
        <w:spacing w:before="0" w:after="0"/>
        <w:ind w:left="120"/>
        <w:jc w:val="both"/>
      </w:pPr>
      <w:r>
        <w:rPr>
          <w:rFonts w:ascii="Times New Roman" w:hAnsi="Times New Roman"/>
          <w:b/>
          <w:i w:val="false"/>
          <w:color w:val="000000"/>
          <w:sz w:val="22"/>
        </w:rPr>
        <w:t>395.2(1)</w:t>
      </w:r>
      <w:r>
        <w:rPr>
          <w:rFonts w:ascii="Times New Roman" w:hAnsi="Times New Roman"/>
          <w:b w:val="false"/>
          <w:i w:val="false"/>
          <w:color w:val="000000"/>
          <w:sz w:val="22"/>
        </w:rPr>
        <w:t> </w:t>
      </w:r>
      <w:r>
        <w:rPr>
          <w:rFonts w:ascii="Times New Roman" w:hAnsi="Times New Roman"/>
          <w:b w:val="false"/>
          <w:i/>
          <w:color w:val="000000"/>
          <w:sz w:val="22"/>
        </w:rPr>
        <w:t xml:space="preserve">Maximum allowable working pressure.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maximum allowable working pressure for code-stamped unfired steam pressure vessels will be determined in accordance with the applicable provisions of the ASME Code or American Petroleum Institute Code under which they were constructed and stamped.</w:t>
      </w:r>
    </w:p>
    <w:p>
      <w:pPr>
        <w:spacing w:before="0" w:after="0"/>
        <w:ind w:left="120"/>
        <w:jc w:val="both"/>
      </w:pP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maximum allowable working pressure on the shell of unfired steam pressure vessels without a code stamp will be determined by the following equation:</w:t>
      </w:r>
    </w:p>
    <w:tbl>
      <w:tblPr>
        <w:tblW w:w="0" w:type="auto"/>
        <w:tblCellSpacing w:w="0" w:type="auto"/>
        <w:tblBorders>
          <w:top w:val="none"/>
          <w:left w:val="none"/>
          <w:bottom w:val="none"/>
          <w:right w:val="none"/>
          <w:insideH w:val="none"/>
          <w:insideV w:val="none"/>
        </w:tblBorders>
        <w:tblLayout w:type="fixed"/>
      </w:tblPr>
      <w:tblGrid>
        <w:gridCol w:w="768"/>
        <w:gridCol w:w="288"/>
        <w:gridCol w:w="4533"/>
        <w:gridCol w:w="4800"/>
      </w:tblGrid>
      <w:tr>
        <w:trPr>
          <w:trHeight w:val="345" w:hRule="atLeast"/>
        </w:trPr>
        <w:tc>
          <w:tcPr>
            <w:tcW w:w="768" w:type="dxa"/>
            <w:tcBorders/>
            <w:tcMar>
              <w:top w:w="30" w:type="dxa"/>
              <w:left w:w="30" w:type="dxa"/>
              <w:bottom w:w="15" w:type="dxa"/>
              <w:right w:w="30" w:type="dxa"/>
            </w:tcMar>
            <w:vAlign w:val="bottom"/>
          </w:tcPr>
          <w:p>
            <w:pPr>
              <w:spacing w:before="0" w:after="0" w:line="264"/>
              <w:ind w:left="0"/>
              <w:jc w:val="center"/>
            </w:pPr>
            <w:r>
              <w:rPr>
                <w:rFonts w:ascii="Times New Roman" w:hAnsi="Times New Roman"/>
                <w:b w:val="false"/>
                <w:i w:val="false"/>
                <w:color w:val="000000"/>
                <w:sz w:val="14"/>
                <w:u w:val="single"/>
              </w:rPr>
              <w:t>TStE</w:t>
            </w:r>
            <w:r>
              <w:br/>
            </w:r>
            <w:r>
              <w:rPr>
                <w:rFonts w:ascii="Times New Roman" w:hAnsi="Times New Roman"/>
                <w:b w:val="false"/>
                <w:i w:val="false"/>
                <w:color w:val="000000"/>
                <w:sz w:val="14"/>
              </w:rPr>
              <w:t>RFS</w:t>
            </w:r>
          </w:p>
        </w:tc>
        <w:tc>
          <w:tcPr>
            <w:tcW w:w="288" w:type="dxa"/>
            <w:tcBorders/>
            <w:tcMar>
              <w:top w:w="30" w:type="dxa"/>
              <w:left w:w="30" w:type="dxa"/>
              <w:bottom w:w="15" w:type="dxa"/>
              <w:right w:w="30" w:type="dxa"/>
            </w:tcMar>
            <w:vAlign w:val="center"/>
          </w:tcPr>
          <w:p>
            <w:pPr>
              <w:spacing w:before="0" w:after="0" w:line="264"/>
              <w:ind w:left="0"/>
              <w:jc w:val="center"/>
            </w:pPr>
            <w:r>
              <w:rPr>
                <w:rFonts w:ascii="Times New Roman" w:hAnsi="Times New Roman"/>
                <w:b w:val="false"/>
                <w:i w:val="false"/>
                <w:color w:val="000000"/>
                <w:sz w:val="14"/>
              </w:rPr>
              <w:t>=</w:t>
            </w:r>
          </w:p>
        </w:tc>
        <w:tc>
          <w:tcPr>
            <w:tcW w:w="0" w:type="auto"/>
            <w:gridSpan w:val="2"/>
            <w:tcBorders/>
            <w:tcMar>
              <w:top w:w="30" w:type="dxa"/>
              <w:left w:w="30" w:type="dxa"/>
              <w:bottom w:w="15" w:type="dxa"/>
              <w:right w:w="30" w:type="dxa"/>
            </w:tcMar>
            <w:vAlign w:val="center"/>
          </w:tcPr>
          <w:p>
            <w:pPr>
              <w:spacing w:before="0" w:after="0" w:line="264"/>
              <w:ind w:left="0"/>
              <w:jc w:val="both"/>
            </w:pPr>
            <w:r>
              <w:rPr>
                <w:rFonts w:ascii="Times New Roman" w:hAnsi="Times New Roman"/>
                <w:b w:val="false"/>
                <w:i w:val="false"/>
                <w:color w:val="000000"/>
                <w:sz w:val="14"/>
              </w:rPr>
              <w:t>Maximum allowable working pressure, psig.</w:t>
            </w:r>
          </w:p>
        </w:tc>
      </w:tr>
      <w:tr>
        <w:trPr>
          <w:trHeight w:val="180" w:hRule="atLeast"/>
        </w:trPr>
        <w:tc>
          <w:tcPr>
            <w:tcW w:w="768"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288"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0" w:type="auto"/>
            <w:gridSpan w:val="2"/>
            <w:tcBorders/>
            <w:tcMar>
              <w:top w:w="30" w:type="dxa"/>
              <w:left w:w="30" w:type="dxa"/>
              <w:bottom w:w="15" w:type="dxa"/>
              <w:right w:w="30" w:type="dxa"/>
            </w:tcMar>
            <w:vAlign w:val="top"/>
          </w:tcPr>
          <w:p>
            <w:pPr>
              <w:spacing w:before="0" w:after="0" w:line="264"/>
              <w:ind w:left="0"/>
              <w:jc w:val="both"/>
            </w:pPr>
            <w:r>
              <w:rPr>
                <w:rFonts w:ascii="Times New Roman" w:hAnsi="Times New Roman"/>
                <w:b w:val="false"/>
                <w:i w:val="false"/>
                <w:color w:val="000000"/>
                <w:sz w:val="14"/>
              </w:rPr>
              <w:t>Where:</w:t>
            </w:r>
          </w:p>
        </w:tc>
      </w:tr>
      <w:tr>
        <w:trPr>
          <w:trHeight w:val="345" w:hRule="atLeast"/>
        </w:trPr>
        <w:tc>
          <w:tcPr>
            <w:tcW w:w="768"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TS</w:t>
            </w:r>
          </w:p>
        </w:tc>
        <w:tc>
          <w:tcPr>
            <w:tcW w:w="288" w:type="dxa"/>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w:t>
            </w:r>
          </w:p>
        </w:tc>
        <w:tc>
          <w:tcPr>
            <w:tcW w:w="0" w:type="auto"/>
            <w:gridSpan w:val="2"/>
            <w:tcBorders/>
            <w:tcMar>
              <w:top w:w="30" w:type="dxa"/>
              <w:left w:w="30" w:type="dxa"/>
              <w:bottom w:w="15" w:type="dxa"/>
              <w:right w:w="30" w:type="dxa"/>
            </w:tcMar>
            <w:vAlign w:val="top"/>
          </w:tcPr>
          <w:p>
            <w:pPr>
              <w:spacing w:before="0" w:after="0" w:line="264"/>
              <w:ind w:left="0"/>
              <w:jc w:val="both"/>
            </w:pPr>
            <w:r>
              <w:rPr>
                <w:rFonts w:ascii="Times New Roman" w:hAnsi="Times New Roman"/>
                <w:b w:val="false"/>
                <w:i w:val="false"/>
                <w:color w:val="000000"/>
                <w:sz w:val="14"/>
              </w:rPr>
              <w:t>Ultimate tensile strength of shell plate(s), psig. When the tensile strength of a steel plate(s) is unknown, it shall be taken as 55,000 psig for temperatures not exceeding 650 degrees F.</w:t>
            </w:r>
          </w:p>
        </w:tc>
      </w:tr>
      <w:tr>
        <w:trPr>
          <w:trHeight w:val="180" w:hRule="atLeast"/>
        </w:trPr>
        <w:tc>
          <w:tcPr>
            <w:tcW w:w="768"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t</w:t>
            </w:r>
          </w:p>
        </w:tc>
        <w:tc>
          <w:tcPr>
            <w:tcW w:w="288" w:type="dxa"/>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w:t>
            </w:r>
          </w:p>
        </w:tc>
        <w:tc>
          <w:tcPr>
            <w:tcW w:w="0" w:type="auto"/>
            <w:gridSpan w:val="2"/>
            <w:tcBorders/>
            <w:tcMar>
              <w:top w:w="30" w:type="dxa"/>
              <w:left w:w="30" w:type="dxa"/>
              <w:bottom w:w="15" w:type="dxa"/>
              <w:right w:w="30" w:type="dxa"/>
            </w:tcMar>
            <w:vAlign w:val="top"/>
          </w:tcPr>
          <w:p>
            <w:pPr>
              <w:spacing w:before="0" w:after="0" w:line="264"/>
              <w:ind w:left="0"/>
              <w:jc w:val="both"/>
            </w:pPr>
            <w:r>
              <w:rPr>
                <w:rFonts w:ascii="Times New Roman" w:hAnsi="Times New Roman"/>
                <w:b w:val="false"/>
                <w:i w:val="false"/>
                <w:color w:val="000000"/>
                <w:sz w:val="14"/>
              </w:rPr>
              <w:t>Minimum thickness of shell plates of the weakest course, in inches.</w:t>
            </w:r>
          </w:p>
        </w:tc>
      </w:tr>
      <w:tr>
        <w:trPr>
          <w:trHeight w:val="345" w:hRule="atLeast"/>
        </w:trPr>
        <w:tc>
          <w:tcPr>
            <w:tcW w:w="768"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E</w:t>
            </w:r>
          </w:p>
        </w:tc>
        <w:tc>
          <w:tcPr>
            <w:tcW w:w="288" w:type="dxa"/>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w:t>
            </w:r>
          </w:p>
        </w:tc>
        <w:tc>
          <w:tcPr>
            <w:tcW w:w="0" w:type="auto"/>
            <w:gridSpan w:val="2"/>
            <w:tcBorders/>
            <w:tcMar>
              <w:top w:w="30" w:type="dxa"/>
              <w:left w:w="30" w:type="dxa"/>
              <w:bottom w:w="15" w:type="dxa"/>
              <w:right w:w="30" w:type="dxa"/>
            </w:tcMar>
            <w:vAlign w:val="top"/>
          </w:tcPr>
          <w:p>
            <w:pPr>
              <w:spacing w:before="0" w:after="0" w:line="264"/>
              <w:ind w:left="0"/>
              <w:jc w:val="both"/>
            </w:pPr>
            <w:r>
              <w:rPr>
                <w:rFonts w:ascii="Times New Roman" w:hAnsi="Times New Roman"/>
                <w:b w:val="false"/>
                <w:i w:val="false"/>
                <w:color w:val="000000"/>
                <w:sz w:val="14"/>
              </w:rPr>
              <w:t>Efficiency of longitudinal joint. For riveted joints, use ASME Code, Section 1 (1971). For fusion-welded and brazed joints, use the following table:</w:t>
            </w:r>
          </w:p>
        </w:tc>
      </w:tr>
      <w:tr>
        <w:trPr>
          <w:trHeight w:val="180" w:hRule="atLeast"/>
        </w:trPr>
        <w:tc>
          <w:tcPr>
            <w:tcW w:w="768"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288"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4533" w:type="dxa"/>
            <w:tcBorders/>
            <w:tcMar>
              <w:top w:w="30" w:type="dxa"/>
              <w:left w:w="30" w:type="dxa"/>
              <w:bottom w:w="15" w:type="dxa"/>
              <w:right w:w="30" w:type="dxa"/>
            </w:tcMar>
            <w:vAlign w:val="top"/>
          </w:tcPr>
          <w:p>
            <w:pPr>
              <w:spacing w:before="0" w:after="0" w:line="264"/>
              <w:ind w:left="0"/>
              <w:jc w:val="both"/>
            </w:pPr>
            <w:r>
              <w:rPr>
                <w:rFonts w:ascii="Times New Roman" w:hAnsi="Times New Roman"/>
                <w:b w:val="false"/>
                <w:i w:val="false"/>
                <w:color w:val="000000"/>
                <w:sz w:val="14"/>
              </w:rPr>
              <w:t>Single lap welded</w:t>
            </w:r>
            <w:r>
              <w:rPr>
                <w:rFonts w:ascii="Times New Roman" w:hAnsi="Times New Roman"/>
                <w:b w:val="false"/>
                <w:i w:val="false"/>
                <w:color w:val="000000"/>
                <w:sz w:val="14"/>
              </w:rPr>
              <w:t>40</w:t>
            </w:r>
          </w:p>
        </w:tc>
        <w:tc>
          <w:tcPr>
            <w:tcW w:w="4800"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r>
      <w:tr>
        <w:trPr>
          <w:trHeight w:val="180" w:hRule="atLeast"/>
        </w:trPr>
        <w:tc>
          <w:tcPr>
            <w:tcW w:w="768"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288"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4533" w:type="dxa"/>
            <w:tcBorders/>
            <w:tcMar>
              <w:top w:w="30" w:type="dxa"/>
              <w:left w:w="30" w:type="dxa"/>
              <w:bottom w:w="15" w:type="dxa"/>
              <w:right w:w="30" w:type="dxa"/>
            </w:tcMar>
            <w:vAlign w:val="top"/>
          </w:tcPr>
          <w:p>
            <w:pPr>
              <w:spacing w:before="0" w:after="0" w:line="264"/>
              <w:ind w:left="0"/>
              <w:jc w:val="both"/>
            </w:pPr>
            <w:r>
              <w:rPr>
                <w:rFonts w:ascii="Times New Roman" w:hAnsi="Times New Roman"/>
                <w:b w:val="false"/>
                <w:i w:val="false"/>
                <w:color w:val="000000"/>
                <w:sz w:val="14"/>
              </w:rPr>
              <w:t>Double lap welded</w:t>
            </w:r>
            <w:r>
              <w:rPr>
                <w:rFonts w:ascii="Times New Roman" w:hAnsi="Times New Roman"/>
                <w:b w:val="false"/>
                <w:i w:val="false"/>
                <w:color w:val="000000"/>
                <w:sz w:val="14"/>
              </w:rPr>
              <w:t>60</w:t>
            </w:r>
          </w:p>
        </w:tc>
        <w:tc>
          <w:tcPr>
            <w:tcW w:w="4800"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r>
      <w:tr>
        <w:trPr>
          <w:trHeight w:val="180" w:hRule="atLeast"/>
        </w:trPr>
        <w:tc>
          <w:tcPr>
            <w:tcW w:w="768"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288"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4533" w:type="dxa"/>
            <w:tcBorders/>
            <w:tcMar>
              <w:top w:w="30" w:type="dxa"/>
              <w:left w:w="30" w:type="dxa"/>
              <w:bottom w:w="15" w:type="dxa"/>
              <w:right w:w="30" w:type="dxa"/>
            </w:tcMar>
            <w:vAlign w:val="top"/>
          </w:tcPr>
          <w:p>
            <w:pPr>
              <w:spacing w:before="0" w:after="0" w:line="264"/>
              <w:ind w:left="0"/>
              <w:jc w:val="both"/>
            </w:pPr>
            <w:r>
              <w:rPr>
                <w:rFonts w:ascii="Times New Roman" w:hAnsi="Times New Roman"/>
                <w:b w:val="false"/>
                <w:i w:val="false"/>
                <w:color w:val="000000"/>
                <w:sz w:val="14"/>
              </w:rPr>
              <w:t>Single butt welded</w:t>
            </w:r>
            <w:r>
              <w:rPr>
                <w:rFonts w:ascii="Times New Roman" w:hAnsi="Times New Roman"/>
                <w:b w:val="false"/>
                <w:i w:val="false"/>
                <w:color w:val="000000"/>
                <w:sz w:val="14"/>
              </w:rPr>
              <w:t>60</w:t>
            </w:r>
          </w:p>
        </w:tc>
        <w:tc>
          <w:tcPr>
            <w:tcW w:w="4800"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r>
      <w:tr>
        <w:trPr>
          <w:trHeight w:val="180" w:hRule="atLeast"/>
        </w:trPr>
        <w:tc>
          <w:tcPr>
            <w:tcW w:w="768"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288"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4533" w:type="dxa"/>
            <w:tcBorders/>
            <w:tcMar>
              <w:top w:w="30" w:type="dxa"/>
              <w:left w:w="30" w:type="dxa"/>
              <w:bottom w:w="15" w:type="dxa"/>
              <w:right w:w="30" w:type="dxa"/>
            </w:tcMar>
            <w:vAlign w:val="top"/>
          </w:tcPr>
          <w:p>
            <w:pPr>
              <w:spacing w:before="0" w:after="0" w:line="264"/>
              <w:ind w:left="0"/>
              <w:jc w:val="both"/>
            </w:pPr>
            <w:r>
              <w:rPr>
                <w:rFonts w:ascii="Times New Roman" w:hAnsi="Times New Roman"/>
                <w:b w:val="false"/>
                <w:i w:val="false"/>
                <w:color w:val="000000"/>
                <w:sz w:val="14"/>
              </w:rPr>
              <w:t>Double butt welded</w:t>
            </w:r>
            <w:r>
              <w:rPr>
                <w:rFonts w:ascii="Times New Roman" w:hAnsi="Times New Roman"/>
                <w:b w:val="false"/>
                <w:i w:val="false"/>
                <w:color w:val="000000"/>
                <w:sz w:val="14"/>
              </w:rPr>
              <w:t>75</w:t>
            </w:r>
          </w:p>
        </w:tc>
        <w:tc>
          <w:tcPr>
            <w:tcW w:w="4800"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r>
      <w:tr>
        <w:trPr>
          <w:trHeight w:val="180" w:hRule="atLeast"/>
        </w:trPr>
        <w:tc>
          <w:tcPr>
            <w:tcW w:w="768"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288"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4533" w:type="dxa"/>
            <w:tcBorders/>
            <w:tcMar>
              <w:top w:w="30" w:type="dxa"/>
              <w:left w:w="30" w:type="dxa"/>
              <w:bottom w:w="15" w:type="dxa"/>
              <w:right w:w="30" w:type="dxa"/>
            </w:tcMar>
            <w:vAlign w:val="top"/>
          </w:tcPr>
          <w:p>
            <w:pPr>
              <w:spacing w:before="0" w:after="0" w:line="264"/>
              <w:ind w:left="0"/>
              <w:jc w:val="both"/>
            </w:pPr>
            <w:r>
              <w:rPr>
                <w:rFonts w:ascii="Times New Roman" w:hAnsi="Times New Roman"/>
                <w:b w:val="false"/>
                <w:i w:val="false"/>
                <w:color w:val="000000"/>
                <w:sz w:val="14"/>
              </w:rPr>
              <w:t>Forge welded</w:t>
            </w:r>
            <w:r>
              <w:rPr>
                <w:rFonts w:ascii="Times New Roman" w:hAnsi="Times New Roman"/>
                <w:b w:val="false"/>
                <w:i w:val="false"/>
                <w:color w:val="000000"/>
                <w:sz w:val="14"/>
              </w:rPr>
              <w:t>70</w:t>
            </w:r>
          </w:p>
        </w:tc>
        <w:tc>
          <w:tcPr>
            <w:tcW w:w="4800"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r>
      <w:tr>
        <w:trPr>
          <w:trHeight w:val="180" w:hRule="atLeast"/>
        </w:trPr>
        <w:tc>
          <w:tcPr>
            <w:tcW w:w="768"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288"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4533" w:type="dxa"/>
            <w:tcBorders/>
            <w:tcMar>
              <w:top w:w="30" w:type="dxa"/>
              <w:left w:w="30" w:type="dxa"/>
              <w:bottom w:w="15" w:type="dxa"/>
              <w:right w:w="30" w:type="dxa"/>
            </w:tcMar>
            <w:vAlign w:val="top"/>
          </w:tcPr>
          <w:p>
            <w:pPr>
              <w:spacing w:before="0" w:after="0" w:line="264"/>
              <w:ind w:left="0"/>
              <w:jc w:val="both"/>
            </w:pPr>
            <w:r>
              <w:rPr>
                <w:rFonts w:ascii="Times New Roman" w:hAnsi="Times New Roman"/>
                <w:b w:val="false"/>
                <w:i w:val="false"/>
                <w:color w:val="000000"/>
                <w:sz w:val="14"/>
              </w:rPr>
              <w:t>Brazed steel</w:t>
            </w:r>
            <w:r>
              <w:rPr>
                <w:rFonts w:ascii="Times New Roman" w:hAnsi="Times New Roman"/>
                <w:b w:val="false"/>
                <w:i w:val="false"/>
                <w:color w:val="000000"/>
                <w:sz w:val="14"/>
              </w:rPr>
              <w:t>80</w:t>
            </w:r>
          </w:p>
        </w:tc>
        <w:tc>
          <w:tcPr>
            <w:tcW w:w="4800"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r>
      <w:tr>
        <w:trPr>
          <w:trHeight w:val="345" w:hRule="atLeast"/>
        </w:trPr>
        <w:tc>
          <w:tcPr>
            <w:tcW w:w="768"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R</w:t>
            </w:r>
          </w:p>
        </w:tc>
        <w:tc>
          <w:tcPr>
            <w:tcW w:w="288" w:type="dxa"/>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w:t>
            </w:r>
          </w:p>
        </w:tc>
        <w:tc>
          <w:tcPr>
            <w:tcW w:w="0" w:type="auto"/>
            <w:gridSpan w:val="2"/>
            <w:tcBorders/>
            <w:tcMar>
              <w:top w:w="30" w:type="dxa"/>
              <w:left w:w="30" w:type="dxa"/>
              <w:bottom w:w="15" w:type="dxa"/>
              <w:right w:w="30" w:type="dxa"/>
            </w:tcMar>
            <w:vAlign w:val="top"/>
          </w:tcPr>
          <w:p>
            <w:pPr>
              <w:spacing w:before="0" w:after="0" w:line="264"/>
              <w:ind w:left="0"/>
              <w:jc w:val="both"/>
            </w:pPr>
            <w:r>
              <w:rPr>
                <w:rFonts w:ascii="Times New Roman" w:hAnsi="Times New Roman"/>
                <w:b w:val="false"/>
                <w:i w:val="false"/>
                <w:color w:val="000000"/>
                <w:sz w:val="14"/>
              </w:rPr>
              <w:t>Inside radius of the weakest course of shell or drum in inches, provided the thickness does not exceed 10 percent of the radius. If the thickness is over 10 percent of the radius, the outer radius shall be used.</w:t>
            </w:r>
          </w:p>
        </w:tc>
      </w:tr>
      <w:tr>
        <w:trPr>
          <w:trHeight w:val="180" w:hRule="atLeast"/>
        </w:trPr>
        <w:tc>
          <w:tcPr>
            <w:tcW w:w="768"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FS</w:t>
            </w:r>
          </w:p>
        </w:tc>
        <w:tc>
          <w:tcPr>
            <w:tcW w:w="288" w:type="dxa"/>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w:t>
            </w:r>
          </w:p>
        </w:tc>
        <w:tc>
          <w:tcPr>
            <w:tcW w:w="0" w:type="auto"/>
            <w:gridSpan w:val="2"/>
            <w:tcBorders/>
            <w:tcMar>
              <w:top w:w="30" w:type="dxa"/>
              <w:left w:w="30" w:type="dxa"/>
              <w:bottom w:w="15" w:type="dxa"/>
              <w:right w:w="30" w:type="dxa"/>
            </w:tcMar>
            <w:vAlign w:val="top"/>
          </w:tcPr>
          <w:p>
            <w:pPr>
              <w:spacing w:before="0" w:after="0" w:line="264"/>
              <w:ind w:left="0"/>
              <w:jc w:val="both"/>
            </w:pPr>
            <w:r>
              <w:rPr>
                <w:rFonts w:ascii="Times New Roman" w:hAnsi="Times New Roman"/>
                <w:b w:val="false"/>
                <w:i w:val="false"/>
                <w:color w:val="000000"/>
                <w:sz w:val="14"/>
              </w:rPr>
              <w:t>Factor of safety shall be four.</w:t>
            </w:r>
          </w:p>
        </w:tc>
      </w:tr>
    </w:tbl>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maximum allowable working pressure for unfired steam pressure vessels without an ASME stamp subjected to external or collapsing pressure will be determined by the ASME Code, Section VIII.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395.2(2)</w:t>
      </w:r>
      <w:r>
        <w:rPr>
          <w:rFonts w:ascii="Times New Roman" w:hAnsi="Times New Roman"/>
          <w:b w:val="false"/>
          <w:i w:val="false"/>
          <w:color w:val="000000"/>
          <w:sz w:val="22"/>
        </w:rPr>
        <w:t> </w:t>
      </w:r>
      <w:r>
        <w:rPr>
          <w:rFonts w:ascii="Times New Roman" w:hAnsi="Times New Roman"/>
          <w:b w:val="false"/>
          <w:i/>
          <w:color w:val="000000"/>
          <w:sz w:val="22"/>
        </w:rPr>
        <w:t xml:space="preserve">End closures. </w:t>
      </w:r>
      <w:r>
        <w:rPr>
          <w:rFonts w:ascii="Times New Roman" w:hAnsi="Times New Roman"/>
          <w:b w:val="false"/>
          <w:i w:val="false"/>
          <w:color w:val="000000"/>
          <w:sz w:val="22"/>
        </w:rPr>
        <w:t>The maximum allowable working pressure permitted for formed heads under pressure will be determined by using the formulas in ASME Code, Section VIII.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395.2(3)</w:t>
      </w:r>
      <w:r>
        <w:rPr>
          <w:rFonts w:ascii="Times New Roman" w:hAnsi="Times New Roman"/>
          <w:b w:val="false"/>
          <w:i w:val="false"/>
          <w:color w:val="000000"/>
          <w:sz w:val="22"/>
        </w:rPr>
        <w:t> </w:t>
      </w:r>
      <w:r>
        <w:rPr>
          <w:rFonts w:ascii="Times New Roman" w:hAnsi="Times New Roman"/>
          <w:b w:val="false"/>
          <w:i/>
          <w:color w:val="000000"/>
          <w:sz w:val="22"/>
        </w:rPr>
        <w:t xml:space="preserve">Safety appliances. </w:t>
      </w:r>
      <w:r>
        <w:rPr>
          <w:rFonts w:ascii="Times New Roman" w:hAnsi="Times New Roman"/>
          <w:b w:val="false"/>
          <w:i w:val="false"/>
          <w:color w:val="000000"/>
          <w:sz w:val="22"/>
        </w:rPr>
        <w:t>Each unfired steam pressure vessel will be protected by such safety and relief valves and indicating and controlling devices as will ensure its safe operation. Valves will not readily be rendered inoperative. The relieving capacity of safety valves will be such as to prevent a rise of pressure in the vessel of more than 10 percent above maximum allowable working pressure, taking into account the effect of static head. Safety valve discharges will be carried to a safe place.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8891C</w:t>
      </w:r>
      <w:r>
        <w:rPr>
          <w:rFonts w:ascii="Times New Roman" w:hAnsi="Times New Roman"/>
          <w:b w:val="false"/>
          <w:i w:val="false"/>
          <w:color w:val="000000"/>
          <w:sz w:val="16"/>
        </w:rPr>
        <w:t>, IAB 2/19/25, effective 3/26/25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7/9/25</w:t>
      </w:r>
      <w:r>
        <w:rPr>
          <w:rFonts w:ascii="Times New Roman" w:hAnsi="Times New Roman"/>
          <w:b w:val="false"/>
          <w:i w:val="false"/>
          <w:color w:val="000000"/>
          <w:sz w:val="16"/>
        </w:rPr>
        <w:t>]</w:t>
      </w:r>
    </w:p>
    <w:p>
      <w:pPr>
        <w:spacing w:before="0" w:after="0"/>
        <w:ind w:left="120"/>
        <w:jc w:val="both"/>
      </w:pPr>
      <w:r>
        <w:rPr>
          <w:rFonts w:ascii="Times New Roman" w:hAnsi="Times New Roman"/>
          <w:b w:val="false"/>
          <w:i w:val="false"/>
          <w:color w:val="000000"/>
          <w:sz w:val="22"/>
        </w:rPr>
        <w:t xml:space="preserve">These rules are intended to implement Iowa Code chapter </w:t>
      </w:r>
      <w:hyperlink r:id="rId6">
        <w:r>
          <w:rPr>
            <w:rStyle w:val="Hyperlink"/>
            <w:rFonts w:ascii="Times New Roman" w:hAnsi="Times New Roman"/>
            <w:b w:val="false"/>
            <w:i w:val="false"/>
            <w:color w:val="000000"/>
            <w:sz w:val="22"/>
          </w:rPr>
          <w:t>89</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7/15/59]</w:t>
      </w:r>
    </w:p>
    <w:p>
      <w:pPr>
        <w:spacing w:before="0" w:after="0"/>
        <w:ind w:left="120"/>
        <w:jc w:val="center"/>
      </w:pPr>
      <w:r>
        <w:rPr>
          <w:rFonts w:ascii="Times New Roman" w:hAnsi="Times New Roman"/>
          <w:b w:val="false"/>
          <w:i w:val="false"/>
          <w:color w:val="000000"/>
          <w:sz w:val="21"/>
        </w:rPr>
        <w:t>[Filed 5/6/83, Notice 3/30/83—published 5/25/83, effective 7/1/83]</w:t>
      </w:r>
    </w:p>
    <w:p>
      <w:pPr>
        <w:spacing w:before="0" w:after="0"/>
        <w:ind w:left="120"/>
        <w:jc w:val="center"/>
      </w:pPr>
      <w:r>
        <w:rPr>
          <w:rFonts w:ascii="Times New Roman" w:hAnsi="Times New Roman"/>
          <w:b w:val="false"/>
          <w:i w:val="false"/>
          <w:color w:val="000000"/>
          <w:sz w:val="21"/>
        </w:rPr>
        <w:t>[Filed emergency 6/13/83—published 7/6/83, effective 7/1/83]</w:t>
      </w:r>
    </w:p>
    <w:p>
      <w:pPr>
        <w:spacing w:before="0" w:after="0"/>
        <w:ind w:left="120"/>
        <w:jc w:val="center"/>
      </w:pPr>
      <w:r>
        <w:rPr>
          <w:rFonts w:ascii="Times New Roman" w:hAnsi="Times New Roman"/>
          <w:b w:val="false"/>
          <w:i w:val="false"/>
          <w:color w:val="000000"/>
          <w:sz w:val="21"/>
        </w:rPr>
        <w:t>[Filed emergency 9/5/86—published 9/24/86, effective 9/24/86]</w:t>
      </w:r>
    </w:p>
    <w:p>
      <w:pPr>
        <w:spacing w:before="0" w:after="0"/>
        <w:ind w:left="120"/>
        <w:jc w:val="center"/>
      </w:pPr>
      <w:r>
        <w:rPr>
          <w:rFonts w:ascii="Times New Roman" w:hAnsi="Times New Roman"/>
          <w:b w:val="false"/>
          <w:i w:val="false"/>
          <w:color w:val="000000"/>
          <w:sz w:val="21"/>
        </w:rPr>
        <w:t>[Filed 3/17/89, Notice 9/21/88—published 4/5/89, effective 5/10/89]</w:t>
      </w:r>
    </w:p>
    <w:p>
      <w:pPr>
        <w:spacing w:before="0" w:after="0"/>
        <w:ind w:left="120"/>
        <w:jc w:val="center"/>
      </w:pPr>
      <w:r>
        <w:rPr>
          <w:rFonts w:ascii="Times New Roman" w:hAnsi="Times New Roman"/>
          <w:b w:val="false"/>
          <w:i w:val="false"/>
          <w:color w:val="000000"/>
          <w:sz w:val="21"/>
        </w:rPr>
        <w:t>[Filed 10/25/91, Notice 7/10/91—published 11/13/91, effective 1/1/92]</w:t>
      </w:r>
    </w:p>
    <w:p>
      <w:pPr>
        <w:spacing w:before="0" w:after="0"/>
        <w:ind w:left="120"/>
        <w:jc w:val="center"/>
      </w:pPr>
      <w:r>
        <w:rPr>
          <w:rFonts w:ascii="Times New Roman" w:hAnsi="Times New Roman"/>
          <w:b w:val="false"/>
          <w:i w:val="false"/>
          <w:color w:val="000000"/>
          <w:sz w:val="21"/>
        </w:rPr>
        <w:t>[Filed 5/16/96, Notice 11/22/95—published 6/5/96, effective 8/1/96]</w:t>
      </w:r>
    </w:p>
    <w:p>
      <w:pPr>
        <w:spacing w:before="0" w:after="0"/>
        <w:ind w:left="120"/>
        <w:jc w:val="center"/>
      </w:pPr>
      <w:r>
        <w:rPr>
          <w:rFonts w:ascii="Times New Roman" w:hAnsi="Times New Roman"/>
          <w:b w:val="false"/>
          <w:i w:val="false"/>
          <w:color w:val="000000"/>
          <w:sz w:val="21"/>
        </w:rPr>
        <w:t>[Filed emergency 12/26/97 after Notice 11/19/97—published 1/14/98, effective 1/1/98]</w:t>
      </w:r>
    </w:p>
    <w:p>
      <w:pPr>
        <w:spacing w:before="0" w:after="0"/>
        <w:ind w:left="120"/>
        <w:jc w:val="center"/>
      </w:pPr>
      <w:r>
        <w:rPr>
          <w:rFonts w:ascii="Times New Roman" w:hAnsi="Times New Roman"/>
          <w:b w:val="false"/>
          <w:i w:val="false"/>
          <w:color w:val="000000"/>
          <w:sz w:val="21"/>
        </w:rPr>
        <w:t>[Filed 3/14/01, Notice 1/24/01—published 4/4/01, effective 5/9/01]</w:t>
      </w:r>
    </w:p>
    <w:p>
      <w:pPr>
        <w:spacing w:before="0" w:after="0"/>
        <w:ind w:left="120"/>
        <w:jc w:val="center"/>
      </w:pPr>
      <w:r>
        <w:rPr>
          <w:rFonts w:ascii="Times New Roman" w:hAnsi="Times New Roman"/>
          <w:b w:val="false"/>
          <w:i w:val="false"/>
          <w:color w:val="000000"/>
          <w:sz w:val="21"/>
        </w:rPr>
        <w:t>[Filed 7/26/06, Notice 5/10/06—published 8/16/06, effective 9/20/06]</w:t>
      </w:r>
    </w:p>
    <w:p>
      <w:pPr>
        <w:spacing w:before="0" w:after="0"/>
        <w:ind w:left="120"/>
        <w:jc w:val="center"/>
      </w:pPr>
      <w:r>
        <w:rPr>
          <w:rFonts w:ascii="Times New Roman" w:hAnsi="Times New Roman"/>
          <w:b w:val="false"/>
          <w:i w:val="false"/>
          <w:color w:val="000000"/>
          <w:sz w:val="21"/>
        </w:rPr>
        <w:t>[Filed 11/30/07, Notice 10/24/07—published 12/19/07, effective 1/23/08]</w:t>
      </w:r>
    </w:p>
    <w:p>
      <w:pPr>
        <w:spacing w:before="0" w:after="0"/>
        <w:ind w:left="120"/>
        <w:jc w:val="center"/>
      </w:pPr>
      <w:r>
        <w:rPr>
          <w:rFonts w:ascii="Times New Roman" w:hAnsi="Times New Roman"/>
          <w:b w:val="false"/>
          <w:i w:val="false"/>
          <w:color w:val="000000"/>
          <w:sz w:val="21"/>
        </w:rPr>
        <w:t>[Filed ARC 8283B</w:t>
      </w:r>
      <w:r>
        <w:rPr>
          <w:rFonts w:ascii="Times New Roman" w:hAnsi="Times New Roman"/>
          <w:b w:val="false"/>
          <w:i w:val="false"/>
          <w:color w:val="000000"/>
          <w:sz w:val="21"/>
        </w:rPr>
        <w:t xml:space="preserve"> (Notice ARC 8082B, IAB 8/26/09)</w:t>
      </w:r>
      <w:r>
        <w:rPr>
          <w:rFonts w:ascii="Times New Roman" w:hAnsi="Times New Roman"/>
          <w:b w:val="false"/>
          <w:i w:val="false"/>
          <w:color w:val="000000"/>
          <w:sz w:val="21"/>
        </w:rPr>
        <w:t>, IAB 11/18/09, effective 1/1/10]</w:t>
      </w:r>
    </w:p>
    <w:p>
      <w:pPr>
        <w:spacing w:before="0" w:after="0"/>
        <w:ind w:left="120"/>
        <w:jc w:val="center"/>
      </w:pPr>
      <w:r>
        <w:rPr>
          <w:rFonts w:ascii="Times New Roman" w:hAnsi="Times New Roman"/>
          <w:b w:val="false"/>
          <w:i w:val="false"/>
          <w:color w:val="000000"/>
          <w:sz w:val="21"/>
        </w:rPr>
        <w:t>[Filed ARC 0319C</w:t>
      </w:r>
      <w:r>
        <w:rPr>
          <w:rFonts w:ascii="Times New Roman" w:hAnsi="Times New Roman"/>
          <w:b w:val="false"/>
          <w:i w:val="false"/>
          <w:color w:val="000000"/>
          <w:sz w:val="21"/>
        </w:rPr>
        <w:t xml:space="preserve"> (Notice ARC 0207C, IAB 7/11/12)</w:t>
      </w:r>
      <w:r>
        <w:rPr>
          <w:rFonts w:ascii="Times New Roman" w:hAnsi="Times New Roman"/>
          <w:b w:val="false"/>
          <w:i w:val="false"/>
          <w:color w:val="000000"/>
          <w:sz w:val="21"/>
        </w:rPr>
        <w:t>, IAB 9/5/12, effective 10/10/12]</w:t>
      </w:r>
    </w:p>
    <w:p>
      <w:pPr>
        <w:spacing w:before="0" w:after="0"/>
        <w:ind w:left="120"/>
        <w:jc w:val="center"/>
      </w:pPr>
      <w:r>
        <w:rPr>
          <w:rFonts w:ascii="Times New Roman" w:hAnsi="Times New Roman"/>
          <w:b w:val="false"/>
          <w:i w:val="false"/>
          <w:color w:val="000000"/>
          <w:sz w:val="21"/>
        </w:rPr>
        <w:t>[Filed ARC 8891C</w:t>
      </w:r>
      <w:r>
        <w:rPr>
          <w:rFonts w:ascii="Times New Roman" w:hAnsi="Times New Roman"/>
          <w:b w:val="false"/>
          <w:i w:val="false"/>
          <w:color w:val="000000"/>
          <w:sz w:val="21"/>
        </w:rPr>
        <w:t xml:space="preserve"> (Notice ARC 8371C, IAB 11/27/24)</w:t>
      </w:r>
      <w:r>
        <w:rPr>
          <w:rFonts w:ascii="Times New Roman" w:hAnsi="Times New Roman"/>
          <w:b w:val="false"/>
          <w:i w:val="false"/>
          <w:color w:val="000000"/>
          <w:sz w:val="21"/>
        </w:rPr>
        <w:t>, IAB 2/19/25, effective 3/26/25]</w:t>
      </w:r>
    </w:p>
    <w:p>
      <w:pPr>
        <w:spacing w:before="0" w:after="0"/>
        <w:ind w:left="120"/>
        <w:jc w:val="center"/>
      </w:pPr>
      <w:r>
        <w:rPr>
          <w:rFonts w:ascii="Times New Roman" w:hAnsi="Times New Roman"/>
          <w:b w:val="false"/>
          <w:i w:val="false"/>
          <w:color w:val="000000"/>
          <w:sz w:val="21"/>
        </w:rPr>
        <w:t>[Editorial change: IAC Supplement 7/9/25]</w:t>
      </w:r>
    </w:p>
    <w:sectPr>
      <w:footerReference r:id="rId7"/>
      <w:pgSz w:w="11907" w:h="16839" w:code="9"/>
      <w:pgMar w:top="1440" w:right="1440" w:bottom="1440" w:left="1440"/>
    </w:sectPr>
  </w:body>
</w:document>
</file>

<file path=word/footer.xml><?xml version="1.0" encoding="utf-8"?>
<w:ftr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ac/chapter/481.391.pdf" Type="http://schemas.openxmlformats.org/officeDocument/2006/relationships/hyperlink" Id="rId5"/>
    <Relationship TargetMode="External" Target="https://www.legis.iowa.gov/docs/ico/chapter/89.pdf" Type="http://schemas.openxmlformats.org/officeDocument/2006/relationships/hyperlink" Id="rId6"/>
    <Relationship Target="footer.xml" Type="http://schemas.openxmlformats.org/officeDocument/2006/relationships/footer" Id="rId7"/>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