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HOTEL AND MOTEL INSPECTIONS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481—37.1</w:t>
      </w:r>
      <w:r>
        <w:rPr>
          <w:rFonts w:ascii="Times New Roman" w:hAnsi="Times New Roman"/>
          <w:b/>
          <w:i w:val="false"/>
          <w:color w:val="000000"/>
          <w:sz w:val="22"/>
        </w:rPr>
        <w:t xml:space="preserve">(137C) </w:t>
      </w:r>
      <w:r>
        <w:rPr>
          <w:rFonts w:ascii="Times New Roman" w:hAnsi="Times New Roman"/>
          <w:b/>
          <w:i w:val="false"/>
          <w:color w:val="000000"/>
          <w:sz w:val="22"/>
        </w:rPr>
        <w:t xml:space="preserve">Building and grounds. </w:t>
      </w:r>
      <w:r>
        <w:rPr>
          <w:rFonts w:ascii="Times New Roman" w:hAnsi="Times New Roman"/>
          <w:b w:val="false"/>
          <w:i w:val="false"/>
          <w:color w:val="000000"/>
          <w:sz w:val="22"/>
        </w:rPr>
        <w:t>Owners or managers are expected to keep hotels clean, meaning no litter nor accumulation of refuse anywhere on the premises. The floors, walls, and ceilings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val="false"/>
          <w:color w:val="000000"/>
          <w:sz w:val="22"/>
        </w:rPr>
        <w:t>Screens, self-closing doors or other effective methods shall be used to keep flies, mosquitoes and other pests out of hotel lobbies, kitchens or any other indoor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val="false"/>
          <w:color w:val="000000"/>
          <w:sz w:val="22"/>
        </w:rPr>
        <w:t>All garbage must be kept in metal or plastic containers with tight-fitting lids and removed regularly to avoid offensive odors, a problem with insects or rodents, or health or fire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val="false"/>
          <w:color w:val="000000"/>
          <w:sz w:val="22"/>
        </w:rPr>
        <w:t>Any room or article that becomes infested with insects or vermin shall be cleaned or chemically treated until there are no more insects or vermin.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w:t>
      </w:r>
      <w:r>
        <w:rPr>
          <w:rFonts w:ascii="Times New Roman" w:hAnsi="Times New Roman"/>
          <w:b/>
          <w:i w:val="false"/>
          <w:color w:val="000000"/>
          <w:sz w:val="22"/>
        </w:rPr>
        <w:t xml:space="preserve">(137C) </w:t>
      </w:r>
      <w:r>
        <w:rPr>
          <w:rFonts w:ascii="Times New Roman" w:hAnsi="Times New Roman"/>
          <w:b/>
          <w:i w:val="false"/>
          <w:color w:val="000000"/>
          <w:sz w:val="22"/>
        </w:rPr>
        <w:t xml:space="preserve">Guest rooms. </w:t>
      </w:r>
      <w:r>
        <w:rPr>
          <w:rFonts w:ascii="Times New Roman" w:hAnsi="Times New Roman"/>
          <w:b w:val="false"/>
          <w:i w:val="false"/>
          <w:color w:val="000000"/>
          <w:sz w:val="22"/>
        </w:rPr>
        <w:t>Hotels built or extensively remodeled, as determined by the department, shall provide ventilation in guest rooms with windows or mechanical devices. The furniture, drapes and accessories shall be kept clean and in good repair.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481—37.3</w:t>
      </w:r>
      <w:r>
        <w:rPr>
          <w:rFonts w:ascii="Times New Roman" w:hAnsi="Times New Roman"/>
          <w:b/>
          <w:i w:val="false"/>
          <w:color w:val="000000"/>
          <w:sz w:val="22"/>
        </w:rPr>
        <w:t xml:space="preserve">(137C) </w:t>
      </w:r>
      <w:r>
        <w:rPr>
          <w:rFonts w:ascii="Times New Roman" w:hAnsi="Times New Roman"/>
          <w:b/>
          <w:i w:val="false"/>
          <w:color w:val="000000"/>
          <w:sz w:val="22"/>
        </w:rPr>
        <w:t xml:space="preserve">Bedding. </w:t>
      </w:r>
      <w:r>
        <w:rPr>
          <w:rFonts w:ascii="Times New Roman" w:hAnsi="Times New Roman"/>
          <w:b w:val="false"/>
          <w:i w:val="false"/>
          <w:color w:val="000000"/>
          <w:sz w:val="22"/>
        </w:rPr>
        <w:t>All materials used on a bed or any sleeping place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w:t>
      </w:r>
      <w:r>
        <w:rPr>
          <w:rFonts w:ascii="Times New Roman" w:hAnsi="Times New Roman"/>
          <w:b w:val="false"/>
          <w:i w:val="false"/>
          <w:color w:val="000000"/>
          <w:sz w:val="22"/>
        </w:rPr>
        <w:t> </w:t>
      </w:r>
      <w:r>
        <w:rPr>
          <w:rFonts w:ascii="Times New Roman" w:hAnsi="Times New Roman"/>
          <w:b w:val="false"/>
          <w:i w:val="false"/>
          <w:color w:val="000000"/>
          <w:sz w:val="22"/>
        </w:rPr>
        <w:t>There shall be an under sheet and top sheet that are large enough to cover the mattress for every bed. Pillows shall have pillow slips.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37.3(2)</w:t>
      </w:r>
      <w:r>
        <w:rPr>
          <w:rFonts w:ascii="Times New Roman" w:hAnsi="Times New Roman"/>
          <w:b w:val="false"/>
          <w:i w:val="false"/>
          <w:color w:val="000000"/>
          <w:sz w:val="22"/>
        </w:rPr>
        <w:t> </w:t>
      </w:r>
      <w:r>
        <w:rPr>
          <w:rFonts w:ascii="Times New Roman" w:hAnsi="Times New Roman"/>
          <w:b w:val="false"/>
          <w:i w:val="false"/>
          <w:color w:val="000000"/>
          <w:sz w:val="22"/>
        </w:rPr>
        <w:t>Each guest shall be furnished clean sheets and pillow slips.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w:t>
      </w:r>
      <w:r>
        <w:rPr>
          <w:rFonts w:ascii="Times New Roman" w:hAnsi="Times New Roman"/>
          <w:b w:val="false"/>
          <w:i w:val="false"/>
          <w:color w:val="000000"/>
          <w:sz w:val="22"/>
        </w:rPr>
        <w:t> </w:t>
      </w:r>
      <w:r>
        <w:rPr>
          <w:rFonts w:ascii="Times New Roman" w:hAnsi="Times New Roman"/>
          <w:b w:val="false"/>
          <w:i w:val="false"/>
          <w:color w:val="000000"/>
          <w:sz w:val="22"/>
        </w:rPr>
        <w:t>All other bedding shall be aired between guests and kept clean.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481—37.4</w:t>
      </w:r>
      <w:r>
        <w:rPr>
          <w:rFonts w:ascii="Times New Roman" w:hAnsi="Times New Roman"/>
          <w:b/>
          <w:i w:val="false"/>
          <w:color w:val="000000"/>
          <w:sz w:val="22"/>
        </w:rPr>
        <w:t xml:space="preserve">(137C) </w:t>
      </w:r>
      <w:r>
        <w:rPr>
          <w:rFonts w:ascii="Times New Roman" w:hAnsi="Times New Roman"/>
          <w:b/>
          <w:i w:val="false"/>
          <w:color w:val="000000"/>
          <w:sz w:val="22"/>
        </w:rPr>
        <w:t xml:space="preserve">Lavatory facilities. </w:t>
      </w:r>
      <w:r>
        <w:rPr>
          <w:rFonts w:ascii="Times New Roman" w:hAnsi="Times New Roman"/>
          <w:b w:val="false"/>
          <w:i w:val="false"/>
          <w:color w:val="000000"/>
          <w:sz w:val="22"/>
        </w:rPr>
        <w:t>Hotels built or remodeled shall have lavatory facilities in each guest room, except for bed and breakfast inns.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w:t>
      </w:r>
      <w:r>
        <w:rPr>
          <w:rFonts w:ascii="Times New Roman" w:hAnsi="Times New Roman"/>
          <w:b w:val="false"/>
          <w:i w:val="false"/>
          <w:color w:val="000000"/>
          <w:sz w:val="22"/>
        </w:rPr>
        <w:t> </w:t>
      </w:r>
      <w:r>
        <w:rPr>
          <w:rFonts w:ascii="Times New Roman" w:hAnsi="Times New Roman"/>
          <w:b w:val="false"/>
          <w:i w:val="false"/>
          <w:color w:val="000000"/>
          <w:sz w:val="22"/>
        </w:rPr>
        <w:t>Each guest room shall be equipped with hot and cold running water fixtures. The floors shall be nonabsorbent and impermeable so they can be washed with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37.4(2)</w:t>
      </w:r>
      <w:r>
        <w:rPr>
          <w:rFonts w:ascii="Times New Roman" w:hAnsi="Times New Roman"/>
          <w:b w:val="false"/>
          <w:i w:val="false"/>
          <w:color w:val="000000"/>
          <w:sz w:val="22"/>
        </w:rPr>
        <w:t> </w:t>
      </w:r>
      <w:r>
        <w:rPr>
          <w:rFonts w:ascii="Times New Roman" w:hAnsi="Times New Roman"/>
          <w:b w:val="false"/>
          <w:i w:val="false"/>
          <w:color w:val="000000"/>
          <w:sz w:val="22"/>
        </w:rPr>
        <w:t>Lavatory rooms shall be well-lighted and vented to the outside of the building, which may be done with electric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w:t>
      </w:r>
      <w:r>
        <w:rPr>
          <w:rFonts w:ascii="Times New Roman" w:hAnsi="Times New Roman"/>
          <w:b w:val="false"/>
          <w:i w:val="false"/>
          <w:color w:val="000000"/>
          <w:sz w:val="22"/>
        </w:rPr>
        <w:t> </w:t>
      </w:r>
      <w:r>
        <w:rPr>
          <w:rFonts w:ascii="Times New Roman" w:hAnsi="Times New Roman"/>
          <w:b w:val="false"/>
          <w:i w:val="false"/>
          <w:color w:val="000000"/>
          <w:sz w:val="22"/>
        </w:rPr>
        <w:t>Each guest shall have a clean towel each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37.4(4)</w:t>
      </w:r>
      <w:r>
        <w:rPr>
          <w:rFonts w:ascii="Times New Roman" w:hAnsi="Times New Roman"/>
          <w:b w:val="false"/>
          <w:i w:val="false"/>
          <w:color w:val="000000"/>
          <w:sz w:val="22"/>
        </w:rPr>
        <w:t> </w:t>
      </w:r>
      <w:r>
        <w:rPr>
          <w:rFonts w:ascii="Times New Roman" w:hAnsi="Times New Roman"/>
          <w:b w:val="false"/>
          <w:i w:val="false"/>
          <w:color w:val="000000"/>
          <w:sz w:val="22"/>
        </w:rPr>
        <w:t xml:space="preserve">Bed and breakfast inns shall provide at least one restroom that is available to overnight guests that is equipped as provided in subrules </w:t>
      </w:r>
      <w:hyperlink r:id="rId5">
        <w:r>
          <w:rPr>
            <w:rStyle w:val="Hyperlink"/>
            <w:rFonts w:ascii="Times New Roman" w:hAnsi="Times New Roman"/>
            <w:b w:val="false"/>
            <w:i w:val="false"/>
            <w:color w:val="000000"/>
            <w:sz w:val="22"/>
          </w:rPr>
          <w:t>37.4(1)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37.4(3)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481—37.5</w:t>
      </w:r>
      <w:r>
        <w:rPr>
          <w:rFonts w:ascii="Times New Roman" w:hAnsi="Times New Roman"/>
          <w:b/>
          <w:i w:val="false"/>
          <w:color w:val="000000"/>
          <w:sz w:val="22"/>
        </w:rPr>
        <w:t xml:space="preserve">(137C) </w:t>
      </w:r>
      <w:r>
        <w:rPr>
          <w:rFonts w:ascii="Times New Roman" w:hAnsi="Times New Roman"/>
          <w:b/>
          <w:i w:val="false"/>
          <w:color w:val="000000"/>
          <w:sz w:val="22"/>
        </w:rPr>
        <w:t xml:space="preserve">Glasses and 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val="false"/>
          <w:color w:val="000000"/>
          <w:sz w:val="22"/>
        </w:rPr>
        <w:t>Each guest shall have clean glasses to use. All cups, glasses or utensils usable more than once shall be sanitized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sanitizing solution used in accordance with the manufacturer’s use instructions;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mechanical dishwasher that sanitizes and is operated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val="false"/>
          <w:color w:val="000000"/>
          <w:sz w:val="22"/>
        </w:rPr>
        <w:t>Sanitizing temperature or solution concentration measuring devices are readily available to frequently measure sanitizing temperatures and sanitizing solution concentrations.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w:t>
      </w:r>
      <w:r>
        <w:rPr>
          <w:rFonts w:ascii="Times New Roman" w:hAnsi="Times New Roman"/>
          <w:b w:val="false"/>
          <w:i w:val="false"/>
          <w:color w:val="000000"/>
          <w:sz w:val="22"/>
        </w:rPr>
        <w:t> </w:t>
      </w:r>
      <w:r>
        <w:rPr>
          <w:rFonts w:ascii="Times New Roman" w:hAnsi="Times New Roman"/>
          <w:b w:val="false"/>
          <w:i w:val="false"/>
          <w:color w:val="000000"/>
          <w:sz w:val="22"/>
        </w:rPr>
        <w:t>Ice kept for guests to use shall be protected from contamination with tight lids on ice machines or storage bins. Containers used to store ice shall be continuously drained and have no direct waste connection. Ice containers and utensils shall be designed so that the surfaces are made of a material that is safe for use as a food contact surface and so that the surface can be adequately cleaned.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481—37.6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481—37.7</w:t>
      </w:r>
      <w:r>
        <w:rPr>
          <w:rFonts w:ascii="Times New Roman" w:hAnsi="Times New Roman"/>
          <w:b/>
          <w:i w:val="false"/>
          <w:color w:val="000000"/>
          <w:sz w:val="22"/>
        </w:rPr>
        <w:t xml:space="preserve">(137C) </w:t>
      </w:r>
      <w:r>
        <w:rPr>
          <w:rFonts w:ascii="Times New Roman" w:hAnsi="Times New Roman"/>
          <w:b/>
          <w:i w:val="false"/>
          <w:color w:val="000000"/>
          <w:sz w:val="22"/>
        </w:rPr>
        <w:t xml:space="preserve">Room rates. </w:t>
      </w:r>
      <w:r>
        <w:rPr>
          <w:rFonts w:ascii="Times New Roman" w:hAnsi="Times New Roman"/>
          <w:b w:val="false"/>
          <w:i w:val="false"/>
          <w:color w:val="000000"/>
          <w:sz w:val="22"/>
        </w:rPr>
        <w:t xml:space="preserve">Room rates will be posted in accordance with Iowa Code chapter </w:t>
      </w:r>
      <w:hyperlink r:id="rId7">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481—37.8</w:t>
      </w:r>
      <w:r>
        <w:rPr>
          <w:rFonts w:ascii="Times New Roman" w:hAnsi="Times New Roman"/>
          <w:b/>
          <w:i w:val="false"/>
          <w:color w:val="000000"/>
          <w:sz w:val="22"/>
        </w:rPr>
        <w:t xml:space="preserve">(137C) </w:t>
      </w:r>
      <w:r>
        <w:rPr>
          <w:rFonts w:ascii="Times New Roman" w:hAnsi="Times New Roman"/>
          <w:b/>
          <w:i w:val="false"/>
          <w:color w:val="000000"/>
          <w:sz w:val="22"/>
        </w:rPr>
        <w:t xml:space="preserve">Inspections. </w:t>
      </w:r>
      <w:r>
        <w:rPr>
          <w:rFonts w:ascii="Times New Roman" w:hAnsi="Times New Roman"/>
          <w:b w:val="false"/>
          <w:i w:val="false"/>
          <w:color w:val="000000"/>
          <w:sz w:val="22"/>
        </w:rPr>
        <w:t xml:space="preserve">Hotels will be inspected in accordance with Iowa Code chapter </w:t>
      </w:r>
      <w:hyperlink r:id="rId8">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481—37.9</w:t>
      </w:r>
      <w:r>
        <w:rPr>
          <w:rFonts w:ascii="Times New Roman" w:hAnsi="Times New Roman"/>
          <w:b/>
          <w:i w:val="false"/>
          <w:color w:val="000000"/>
          <w:sz w:val="22"/>
        </w:rPr>
        <w:t xml:space="preserve">(137C)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Violation of these rules or any provision of Iowa Code chapter </w:t>
      </w:r>
      <w:hyperlink r:id="rId9">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is a simple misdemeanor. The department may employ various remedies if violations are discovered, including suspension or revocation of licenses (Iowa Code section </w:t>
      </w:r>
      <w:hyperlink r:id="rId10">
        <w:r>
          <w:rPr>
            <w:rStyle w:val="Hyperlink"/>
            <w:rFonts w:ascii="Times New Roman" w:hAnsi="Times New Roman"/>
            <w:b w:val="false"/>
            <w:i w:val="false"/>
            <w:color w:val="000000"/>
            <w:sz w:val="22"/>
          </w:rPr>
          <w:t>137C.10</w:t>
        </w:r>
      </w:hyperlink>
      <w:r>
        <w:rPr>
          <w:rFonts w:ascii="Times New Roman" w:hAnsi="Times New Roman"/>
          <w:b w:val="false"/>
          <w:i w:val="false"/>
          <w:color w:val="000000"/>
          <w:sz w:val="22"/>
        </w:rPr>
        <w:t xml:space="preserve">) or injunction (Iowa Code section </w:t>
      </w:r>
      <w:hyperlink r:id="rId11">
        <w:r>
          <w:rPr>
            <w:rStyle w:val="Hyperlink"/>
            <w:rFonts w:ascii="Times New Roman" w:hAnsi="Times New Roman"/>
            <w:b w:val="false"/>
            <w:i w:val="false"/>
            <w:color w:val="000000"/>
            <w:sz w:val="22"/>
          </w:rPr>
          <w:t>137C.29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481—37.10</w:t>
      </w:r>
      <w:r>
        <w:rPr>
          <w:rFonts w:ascii="Times New Roman" w:hAnsi="Times New Roman"/>
          <w:b/>
          <w:i w:val="false"/>
          <w:color w:val="000000"/>
          <w:sz w:val="22"/>
        </w:rPr>
        <w:t xml:space="preserve">(137C) </w:t>
      </w:r>
      <w:r>
        <w:rPr>
          <w:rFonts w:ascii="Times New Roman" w:hAnsi="Times New Roman"/>
          <w:b/>
          <w:i w:val="false"/>
          <w:color w:val="000000"/>
          <w:sz w:val="22"/>
        </w:rPr>
        <w:t xml:space="preserve">Criminal offense—conviction of license holder.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suspend or revoke the license of a license holder who conducts an activity constituting a criminal offense as set forth in Iowa Code section </w:t>
      </w:r>
      <w:hyperlink r:id="rId12">
        <w:r>
          <w:rPr>
            <w:rStyle w:val="Hyperlink"/>
            <w:rFonts w:ascii="Times New Roman" w:hAnsi="Times New Roman"/>
            <w:b w:val="false"/>
            <w:i w:val="false"/>
            <w:color w:val="000000"/>
            <w:sz w:val="22"/>
          </w:rPr>
          <w:t>137C.10(3)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37.10(2)</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final order or judgment of conviction or plea of guilty is conclusive evidence of the conviction of the license holder.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0061D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10/13/78, Notice 8/23/78—published 11/1/78, effective 12/7/78]</w:t>
      </w:r>
    </w:p>
    <w:p>
      <w:pPr>
        <w:spacing w:before="0" w:after="0"/>
        <w:ind w:left="120"/>
        <w:jc w:val="center"/>
      </w:pPr>
      <w:r>
        <w:rPr>
          <w:rFonts w:ascii="Times New Roman" w:hAnsi="Times New Roman"/>
          <w:b w:val="false"/>
          <w:i w:val="false"/>
          <w:color w:val="000000"/>
          <w:sz w:val="21"/>
        </w:rPr>
        <w:t>[Filed 4/23/82, Notice 3/17/82—published 5/12/82, effective 6/16/82]</w:t>
      </w:r>
    </w:p>
    <w:p>
      <w:pPr>
        <w:spacing w:before="0" w:after="0"/>
        <w:ind w:left="120"/>
        <w:jc w:val="center"/>
      </w:pPr>
      <w:r>
        <w:rPr>
          <w:rFonts w:ascii="Times New Roman" w:hAnsi="Times New Roman"/>
          <w:b w:val="false"/>
          <w:i w:val="false"/>
          <w:color w:val="000000"/>
          <w:sz w:val="21"/>
        </w:rPr>
        <w:t>[Filed emergency 12/6/84—published 1/2/85, effective 12/6/84]</w:t>
      </w:r>
    </w:p>
    <w:p>
      <w:pPr>
        <w:spacing w:before="0" w:after="0"/>
        <w:ind w:left="120"/>
        <w:jc w:val="center"/>
      </w:pPr>
      <w:r>
        <w:rPr>
          <w:rFonts w:ascii="Times New Roman" w:hAnsi="Times New Roman"/>
          <w:b w:val="false"/>
          <w:i w:val="false"/>
          <w:color w:val="000000"/>
          <w:sz w:val="21"/>
        </w:rPr>
        <w:t>[Filed 2/8/85, Notice 1/2/85—published 2/27/85, effective 4/3/85]</w:t>
      </w:r>
    </w:p>
    <w:p>
      <w:pPr>
        <w:spacing w:before="0" w:after="0"/>
        <w:ind w:left="120"/>
        <w:jc w:val="center"/>
      </w:pPr>
      <w:r>
        <w:rPr>
          <w:rFonts w:ascii="Times New Roman" w:hAnsi="Times New Roman"/>
          <w:b w:val="false"/>
          <w:i w:val="false"/>
          <w:color w:val="000000"/>
          <w:sz w:val="21"/>
        </w:rPr>
        <w:t>[Filed 2/20/87, Notice 1/14/87—published 3/11/87, effective 4/15/87]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9/23/91, Notice 8/7/91—published 10/16/91, effective 11/20/91]</w:t>
      </w:r>
    </w:p>
    <w:p>
      <w:pPr>
        <w:spacing w:before="0" w:after="0"/>
        <w:ind w:left="120"/>
        <w:jc w:val="center"/>
      </w:pPr>
      <w:r>
        <w:rPr>
          <w:rFonts w:ascii="Times New Roman" w:hAnsi="Times New Roman"/>
          <w:b w:val="false"/>
          <w:i w:val="false"/>
          <w:color w:val="000000"/>
          <w:sz w:val="21"/>
        </w:rPr>
        <w:t>[Filed 9/10/92, Notice 7/22/92—published 9/30/92, effective 11/4/92]</w:t>
      </w:r>
    </w:p>
    <w:p>
      <w:pPr>
        <w:spacing w:before="0" w:after="0"/>
        <w:ind w:left="120"/>
        <w:jc w:val="center"/>
      </w:pPr>
      <w:r>
        <w:rPr>
          <w:rFonts w:ascii="Times New Roman" w:hAnsi="Times New Roman"/>
          <w:b w:val="false"/>
          <w:i w:val="false"/>
          <w:color w:val="000000"/>
          <w:sz w:val="21"/>
        </w:rPr>
        <w:t>[Filed 7/5/00, Notice 5/31/00—published 7/26/00, effective 8/30/00]</w:t>
      </w:r>
    </w:p>
    <w:p>
      <w:pPr>
        <w:spacing w:before="0" w:after="0"/>
        <w:ind w:left="120"/>
        <w:jc w:val="center"/>
      </w:pPr>
      <w:r>
        <w:rPr>
          <w:rFonts w:ascii="Times New Roman" w:hAnsi="Times New Roman"/>
          <w:b w:val="false"/>
          <w:i w:val="false"/>
          <w:color w:val="000000"/>
          <w:sz w:val="21"/>
        </w:rPr>
        <w:t>[Filed ARC 6859C</w:t>
      </w:r>
      <w:r>
        <w:rPr>
          <w:rFonts w:ascii="Times New Roman" w:hAnsi="Times New Roman"/>
          <w:b w:val="false"/>
          <w:i w:val="false"/>
          <w:color w:val="000000"/>
          <w:sz w:val="21"/>
        </w:rPr>
        <w:t xml:space="preserve"> (Notice ARC 6744C,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0061D</w:t>
      </w:r>
      <w:r>
        <w:rPr>
          <w:rFonts w:ascii="Times New Roman" w:hAnsi="Times New Roman"/>
          <w:b w:val="false"/>
          <w:i w:val="false"/>
          <w:color w:val="000000"/>
          <w:sz w:val="21"/>
        </w:rPr>
        <w:t xml:space="preserve"> (Notice ARC 9779C, IAB 12/10/25)</w:t>
      </w:r>
      <w:r>
        <w:rPr>
          <w:rFonts w:ascii="Times New Roman" w:hAnsi="Times New Roman"/>
          <w:b w:val="false"/>
          <w:i w:val="false"/>
          <w:color w:val="000000"/>
          <w:sz w:val="21"/>
        </w:rPr>
        <w:t>, IAB 2/4/26, effective 3/11/26]</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7.4.pdf" Type="http://schemas.openxmlformats.org/officeDocument/2006/relationships/hyperlink" Id="rId5"/>
    <Relationship TargetMode="External" Target="https://www.legis.iowa.gov/docs/iac/rule/481.37.4.pdf" Type="http://schemas.openxmlformats.org/officeDocument/2006/relationships/hyperlink" Id="rId6"/>
    <Relationship TargetMode="External" Target="https://www.legis.iowa.gov/docs/ico/chapter/137C.pdf" Type="http://schemas.openxmlformats.org/officeDocument/2006/relationships/hyperlink" Id="rId7"/>
    <Relationship TargetMode="External" Target="https://www.legis.iowa.gov/docs/ico/chapter/137C.pdf" Type="http://schemas.openxmlformats.org/officeDocument/2006/relationships/hyperlink" Id="rId8"/>
    <Relationship TargetMode="External" Target="https://www.legis.iowa.gov/docs/ico/chapter/137C.pdf" Type="http://schemas.openxmlformats.org/officeDocument/2006/relationships/hyperlink" Id="rId9"/>
    <Relationship TargetMode="External" Target="https://www.legis.iowa.gov/docs/ico/chapter/137C.10.pdf" Type="http://schemas.openxmlformats.org/officeDocument/2006/relationships/hyperlink" Id="rId10"/>
    <Relationship TargetMode="External" Target="https://www.legis.iowa.gov/docs/ico/chapter/137C.29.pdf" Type="http://schemas.openxmlformats.org/officeDocument/2006/relationships/hyperlink" Id="rId11"/>
    <Relationship TargetMode="External" Target="https://www.legis.iowa.gov/docs/ico/chapter/137C.10.pdf" Type="http://schemas.openxmlformats.org/officeDocument/2006/relationships/hyperlink" Id="rId12"/>
    <Relationship TargetMode="External" Target="https://www.legis.iowa.gov/docs/ico/chapter/137C.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