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323</w:t>
      </w:r>
    </w:p>
    <w:p>
      <w:pPr>
        <w:spacing w:before="0" w:after="0"/>
        <w:ind w:left="120"/>
        <w:jc w:val="center"/>
      </w:pPr>
      <w:r>
        <w:rPr>
          <w:rFonts w:ascii="Times New Roman" w:hAnsi="Times New Roman"/>
          <w:b w:val="false"/>
          <w:i w:val="false"/>
          <w:color w:val="000000"/>
          <w:sz w:val="21"/>
        </w:rPr>
        <w:t xml:space="preserve"> TEMPORARY EMERGENCY USE OF FACTORY-BUILT </w:t>
      </w:r>
      <w:r>
        <w:br/>
      </w:r>
      <w:r>
        <w:rPr>
          <w:rFonts w:ascii="Times New Roman" w:hAnsi="Times New Roman"/>
          <w:b w:val="false"/>
          <w:i w:val="false"/>
          <w:color w:val="000000"/>
          <w:sz w:val="21"/>
        </w:rPr>
        <w:t>STRUCTURES—COMMERCIAL USE</w:t>
      </w:r>
    </w:p>
    <w:p>
      <w:pPr>
        <w:spacing w:before="0" w:after="0"/>
        <w:ind w:left="120"/>
        <w:jc w:val="center"/>
      </w:pPr>
      <w:r>
        <w:rPr>
          <w:rFonts w:ascii="Times New Roman" w:hAnsi="Times New Roman"/>
          <w:b w:val="false"/>
          <w:i w:val="false"/>
          <w:color w:val="000000"/>
          <w:sz w:val="20"/>
        </w:rPr>
        <w:t>[Prior to 11/26/25, see Public Safety Department[661] Ch 323]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both"/>
      </w:pPr>
      <w:r>
        <w:rPr>
          <w:rFonts w:ascii="Times New Roman" w:hAnsi="Times New Roman"/>
          <w:b/>
          <w:i w:val="false"/>
          <w:color w:val="000000"/>
          <w:sz w:val="22"/>
        </w:rPr>
        <w:t>481—323.1</w:t>
      </w:r>
      <w:r>
        <w:rPr>
          <w:rFonts w:ascii="Times New Roman" w:hAnsi="Times New Roman"/>
          <w:b/>
          <w:i w:val="false"/>
          <w:color w:val="000000"/>
          <w:sz w:val="22"/>
        </w:rPr>
        <w:t xml:space="preserve">(103A) </w:t>
      </w:r>
      <w:r>
        <w:rPr>
          <w:rFonts w:ascii="Times New Roman" w:hAnsi="Times New Roman"/>
          <w:b/>
          <w:i w:val="false"/>
          <w:color w:val="000000"/>
          <w:sz w:val="22"/>
        </w:rPr>
        <w:t xml:space="preserve">Temporary factory-built structures for commercial use. </w:t>
      </w:r>
      <w:r>
        <w:rPr>
          <w:rFonts w:ascii="Times New Roman" w:hAnsi="Times New Roman"/>
          <w:b w:val="false"/>
          <w:i w:val="false"/>
          <w:color w:val="000000"/>
          <w:sz w:val="22"/>
        </w:rPr>
        <w:t xml:space="preserve">A factory-built structure, as defined in Iowa Code section </w:t>
      </w:r>
      <w:hyperlink r:id="rId5">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may be installed and used as a temporary location for a business or commercial operation,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is in an area currently subject to a disaster emergency proclamation issued by the governor pursuant to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If outside any area covered by a current disaster emergency proclamation, the installation is approved in writing by the building code commissioner provided that all of the other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323.1(2)</w:t>
      </w:r>
      <w:r>
        <w:rPr>
          <w:rFonts w:ascii="Times New Roman" w:hAnsi="Times New Roman"/>
          <w:b w:val="false"/>
          <w:i w:val="false"/>
          <w:color w:val="000000"/>
          <w:sz w:val="22"/>
        </w:rPr>
        <w:t> </w:t>
      </w:r>
      <w:r>
        <w:rPr>
          <w:rFonts w:ascii="Times New Roman" w:hAnsi="Times New Roman"/>
          <w:b w:val="false"/>
          <w:i w:val="false"/>
          <w:color w:val="000000"/>
          <w:sz w:val="22"/>
        </w:rPr>
        <w:t>The structure was manufactured to be installed without a permanent foundation.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323.1(3)</w:t>
      </w:r>
      <w:r>
        <w:rPr>
          <w:rFonts w:ascii="Times New Roman" w:hAnsi="Times New Roman"/>
          <w:b w:val="false"/>
          <w:i w:val="false"/>
          <w:color w:val="000000"/>
          <w:sz w:val="22"/>
        </w:rPr>
        <w:t> </w:t>
      </w:r>
      <w:r>
        <w:rPr>
          <w:rFonts w:ascii="Times New Roman" w:hAnsi="Times New Roman"/>
          <w:b w:val="false"/>
          <w:i w:val="false"/>
          <w:color w:val="000000"/>
          <w:sz w:val="22"/>
        </w:rPr>
        <w:t>The installation fully complies with all applicable installation requirements established by the manufacturer.</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If specifications provided by the manufacturer provide for the use of both a support system and an anchoring system, a structure may be installed without a permanent support system, provided that an anchoring system is installed in compliance with specifications provided by the manufacturer and the owner or occupant ensures that straps or ties are loosened to prevent the structure from suffering damage from frost heave as needed between November 15 of any year during which it is in use and April 15 of the following year and retightened on or after April 15 and no later than May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323.1(4)</w:t>
      </w:r>
      <w:r>
        <w:rPr>
          <w:rFonts w:ascii="Times New Roman" w:hAnsi="Times New Roman"/>
          <w:b w:val="false"/>
          <w:i w:val="false"/>
          <w:color w:val="000000"/>
          <w:sz w:val="22"/>
        </w:rPr>
        <w:t> </w:t>
      </w:r>
      <w:r>
        <w:rPr>
          <w:rFonts w:ascii="Times New Roman" w:hAnsi="Times New Roman"/>
          <w:b w:val="false"/>
          <w:i w:val="false"/>
          <w:color w:val="000000"/>
          <w:sz w:val="22"/>
        </w:rPr>
        <w:t>The owner ensures full compliance with all maintenance requirements established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structure complies with other applicable codes for the use of the structure, except that a structure installed in compliance with this rule is not required to display an Iowa seal as otherwise required by 481—subrules </w:t>
      </w:r>
      <w:hyperlink r:id="rId7">
        <w:r>
          <w:rPr>
            <w:rStyle w:val="Hyperlink"/>
            <w:rFonts w:ascii="Times New Roman" w:hAnsi="Times New Roman"/>
            <w:b w:val="false"/>
            <w:i w:val="false"/>
            <w:color w:val="000000"/>
            <w:sz w:val="22"/>
          </w:rPr>
          <w:t>321.610(21)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321.610(22)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321.610(24)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structure is not used as a private residence. More information on manufactured homes is available in </w:t>
      </w:r>
      <w:hyperlink r:id="rId10">
        <w:r>
          <w:rPr>
            <w:rStyle w:val="Hyperlink"/>
            <w:rFonts w:ascii="Times New Roman" w:hAnsi="Times New Roman"/>
            <w:b w:val="false"/>
            <w:i w:val="false"/>
            <w:color w:val="000000"/>
            <w:sz w:val="22"/>
          </w:rPr>
          <w:t>481—subrule 322.11(5)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323.1(7)</w:t>
      </w:r>
      <w:r>
        <w:rPr>
          <w:rFonts w:ascii="Times New Roman" w:hAnsi="Times New Roman"/>
          <w:b w:val="false"/>
          <w:i w:val="false"/>
          <w:color w:val="000000"/>
          <w:sz w:val="22"/>
        </w:rPr>
        <w:t> </w:t>
      </w:r>
      <w:r>
        <w:rPr>
          <w:rFonts w:ascii="Times New Roman" w:hAnsi="Times New Roman"/>
          <w:b w:val="false"/>
          <w:i w:val="false"/>
          <w:color w:val="000000"/>
          <w:sz w:val="22"/>
        </w:rPr>
        <w:t>The structure is vacated within 18 months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323.1(8)</w:t>
      </w:r>
      <w:r>
        <w:rPr>
          <w:rFonts w:ascii="Times New Roman" w:hAnsi="Times New Roman"/>
          <w:b w:val="false"/>
          <w:i w:val="false"/>
          <w:color w:val="000000"/>
          <w:sz w:val="22"/>
        </w:rPr>
        <w:t> </w:t>
      </w:r>
      <w:r>
        <w:rPr>
          <w:rFonts w:ascii="Times New Roman" w:hAnsi="Times New Roman"/>
          <w:b w:val="false"/>
          <w:i w:val="false"/>
          <w:color w:val="000000"/>
          <w:sz w:val="22"/>
        </w:rPr>
        <w:t>No portion of the structure is used as an educational occupancy unless written permission for such use has been issued by the fire control bureau and the building code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323.1(9)</w:t>
      </w:r>
      <w:r>
        <w:rPr>
          <w:rFonts w:ascii="Times New Roman" w:hAnsi="Times New Roman"/>
          <w:b w:val="false"/>
          <w:i w:val="false"/>
          <w:color w:val="000000"/>
          <w:sz w:val="22"/>
        </w:rPr>
        <w:t> </w:t>
      </w:r>
      <w:r>
        <w:rPr>
          <w:rFonts w:ascii="Times New Roman" w:hAnsi="Times New Roman"/>
          <w:b w:val="false"/>
          <w:i w:val="false"/>
          <w:color w:val="000000"/>
          <w:sz w:val="22"/>
        </w:rPr>
        <w:t>No portion of the structure is used as a health care facility unless written permission for such use has been issued by the fire control bureau and the building code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9476C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9476C</w:t>
      </w:r>
      <w:r>
        <w:rPr>
          <w:rFonts w:ascii="Times New Roman" w:hAnsi="Times New Roman"/>
          <w:b w:val="false"/>
          <w:i w:val="false"/>
          <w:color w:val="000000"/>
          <w:sz w:val="21"/>
        </w:rPr>
        <w:t xml:space="preserve"> (Notice ARC 9053C,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3.pdf" Type="http://schemas.openxmlformats.org/officeDocument/2006/relationships/hyperlink" Id="rId5"/>
    <Relationship TargetMode="External" Target="https://www.legis.iowa.gov/docs/ico/chapter/29C.6.pdf" Type="http://schemas.openxmlformats.org/officeDocument/2006/relationships/hyperlink" Id="rId6"/>
    <Relationship TargetMode="External" Target="https://www.legis.iowa.gov/docs/iac/rule/481.321.610.pdf" Type="http://schemas.openxmlformats.org/officeDocument/2006/relationships/hyperlink" Id="rId7"/>
    <Relationship TargetMode="External" Target="https://www.legis.iowa.gov/docs/iac/rule/481.321.610.pdf" Type="http://schemas.openxmlformats.org/officeDocument/2006/relationships/hyperlink" Id="rId8"/>
    <Relationship TargetMode="External" Target="https://www.legis.iowa.gov/docs/iac/rule/481.321.610.pdf" Type="http://schemas.openxmlformats.org/officeDocument/2006/relationships/hyperlink" Id="rId9"/>
    <Relationship TargetMode="External" Target="https://www.legis.iowa.gov/docs/iac/rule/481.322.11.pdf" Type="http://schemas.openxmlformats.org/officeDocument/2006/relationships/hyperlink" Id="rId10"/>
    <Relationship TargetMode="External" Target="https://www.legis.iowa.gov/docs/ico/chapter/103A.7.pdf" Type="http://schemas.openxmlformats.org/officeDocument/2006/relationships/hyperlink" Id="rId11"/>
    <Relationship TargetMode="External" Target="https://www.legis.iowa.gov/docs/ico/chapter/103A.9.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