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 xml:space="preserve">FOOD ESTABLISHMENT AND FOOD </w:t>
      </w:r>
      <w:r>
        <w:br/>
      </w:r>
      <w:r>
        <w:rPr>
          <w:rFonts w:ascii="Times New Roman" w:hAnsi="Times New Roman"/>
          <w:b w:val="false"/>
          <w:i w:val="false"/>
          <w:color w:val="000000"/>
          <w:sz w:val="21"/>
        </w:rPr>
        <w:t>PROCESSING PLANT INSPECTIONS</w:t>
      </w:r>
    </w:p>
    <w:p>
      <w:pPr>
        <w:spacing w:before="0" w:after="0"/>
        <w:ind w:left="120"/>
        <w:jc w:val="center"/>
      </w:pPr>
      <w:r>
        <w:rPr>
          <w:rFonts w:ascii="Times New Roman" w:hAnsi="Times New Roman"/>
          <w:b w:val="false"/>
          <w:i w:val="false"/>
          <w:color w:val="000000"/>
          <w:sz w:val="20"/>
        </w:rPr>
        <w:t>[Prior to 8/26/87, see Inspections and Appeals Department[481]—Chs 21 and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481—31.1</w:t>
      </w:r>
      <w:r>
        <w:rPr>
          <w:rFonts w:ascii="Times New Roman" w:hAnsi="Times New Roman"/>
          <w:b/>
          <w:i w:val="false"/>
          <w:color w:val="000000"/>
          <w:sz w:val="22"/>
        </w:rPr>
        <w:t xml:space="preserve">(137F) </w:t>
      </w:r>
      <w:r>
        <w:rPr>
          <w:rFonts w:ascii="Times New Roman" w:hAnsi="Times New Roman"/>
          <w:b/>
          <w:i w:val="false"/>
          <w:color w:val="000000"/>
          <w:sz w:val="22"/>
        </w:rPr>
        <w:t xml:space="preserve">Inspection standards for food establishments. </w:t>
      </w:r>
      <w:r>
        <w:rPr>
          <w:rFonts w:ascii="Times New Roman" w:hAnsi="Times New Roman"/>
          <w:b w:val="false"/>
          <w:i w:val="false"/>
          <w:color w:val="000000"/>
          <w:sz w:val="22"/>
        </w:rPr>
        <w:t>The department adopts, with the following exceptions, the 2017 Food Code with Supplement of the Food and Drug Administration as the state’s “food code,” which is the inspection standard for food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establishments—assignment of responsibility. </w:t>
      </w:r>
      <w:r>
        <w:rPr>
          <w:rFonts w:ascii="Times New Roman" w:hAnsi="Times New Roman"/>
          <w:b w:val="false"/>
          <w:i w:val="false"/>
          <w:color w:val="000000"/>
          <w:sz w:val="22"/>
        </w:rPr>
        <w:t>For the purposes of section 2-101.11(C) of the 2017 Food Code with Supplement, unattended food establishments are not required to have a designated person in charge present during all hours of operation provided that the permit holder ensures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 location. </w:t>
      </w:r>
      <w:r>
        <w:rPr>
          <w:rFonts w:ascii="Times New Roman" w:hAnsi="Times New Roman"/>
          <w:b w:val="false"/>
          <w:i w:val="false"/>
          <w:color w:val="000000"/>
          <w:sz w:val="22"/>
        </w:rPr>
        <w:t>The unattended food establishment is located in the interior of a building, has controlled entry, and is not accessible by the general public. Access to the unattended food establishment will be limited to a defined population (e.g., employees, registered guests or occupants of the building where the establishment is located). For the purposes of this paragraph, registered guests are individuals whose names are officially recorded with a business by reservation or by appointment. The term ensures a secure and traceable record of who is occupying a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Nature and source of food and beverages offered for sale.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commercially packaged foods properly labeled for individual retail sale, pursuant to Food Code section 3-201.11(C), will be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unpackaged food is permitted except as provided by section 3-302.11(B)(1) of the Food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Food preparation by consumers is limited to heating/reheating food in a microwave oven.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dispensing of bulk food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Refrigerated display equipment. </w:t>
      </w:r>
      <w:r>
        <w:rPr>
          <w:rFonts w:ascii="Times New Roman" w:hAnsi="Times New Roman"/>
          <w:b w:val="false"/>
          <w:i w:val="false"/>
          <w:color w:val="000000"/>
          <w:sz w:val="22"/>
        </w:rPr>
        <w:t>An unattended food establishment will be equipped with refrigeration or freezer units that have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Self-closing doors that allow food to be viewed without opening the door to the refrigerated cooler or freezer;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automatic self-locking mechanism that prevents the consumer from accessing the food upon the occurrence of any condition that results in the failure of the refrigeration unit to maintain the internal product temperature specified under section 3-501.16(A)(2) or of the freezer unit to maintain the product as frozen.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Food service equipment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Beverages are dispensed by individual serving only. Beverage dispensers connected to the building water supply will be properly equipped with backflow prevention pursuant to section 5-203.14 of the Food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Food-contact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Multiuse food-contact surfaces will be cleaned on a frequency consistent with the service pursuant to section 4-202.11 of the Food Code or are easily removed and replaced with cleaned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multiuse food-contact surfaces intended for use with time/temperature control for safety foods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unattended food establishment will provide continuous video surveillance of areas where consumers view, select, handle and purchase products that will provide sufficient resolution to identify situations that may compromise food safety or food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Video surveillance recordings will be maintained and made available for inspection by a representative of a regulatory agency within 24 hours of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Video surveillance recordings will be held by the establishment for a minimum of 14 days after the date of the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take reasonable steps necessary to discourage individuals from returning food, beverages, or both that have not been selected for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Routine maintenance at an unattended food establishment.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service the unattended food establishment at least weekly,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Checking food supplies and equipment for signs of product damage, tampering,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Verifying that refrigeration equipment is operating properly, including the temperature display and self-locking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Rotating foods to better ensure first in/first out of food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Cleaning food service equipment and food display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Stocking food and disposable single-use and single-service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Checking inventory for recalled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Food is from an approved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Packaged food is provided in tamper-evident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Food is protected from potential sources of cross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is maintained at safe temperatures during transport and 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 oversight. </w:t>
      </w:r>
      <w:r>
        <w:rPr>
          <w:rFonts w:ascii="Times New Roman" w:hAnsi="Times New Roman"/>
          <w:b w:val="false"/>
          <w:i w:val="false"/>
          <w:color w:val="000000"/>
          <w:sz w:val="22"/>
        </w:rPr>
        <w:t>Each unattended food establishment will have a sign readily visible at the automated payment station stating the name, mailing address, telephone number, email address and web information, if any, of the business entity responsible for the establishment and to whom complaints and comments should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Designation of responsibilities. </w:t>
      </w:r>
      <w:r>
        <w:rPr>
          <w:rFonts w:ascii="Times New Roman" w:hAnsi="Times New Roman"/>
          <w:b w:val="false"/>
          <w:i w:val="false"/>
          <w:color w:val="000000"/>
          <w:sz w:val="22"/>
        </w:rPr>
        <w:t>The permit holder bears all responsibilities for the operation of the food establishment. When the permit holder is not the owner or operator of the building where the food establishment is located, a mutual agreement that outlines the responsibilities for cleaning and maintenance of all surfaces and equipment and for provision of supportive facilities/services, such as janitorial services and restroom facilities, pest control and removal of solid waste, may be approved by the regulatory agency. This agreement should outline actions that must be taken by both parties to maintain the establishment in compliance with all requirements including responding to imminent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Inspections—on-site person in charge. </w:t>
      </w:r>
      <w:r>
        <w:rPr>
          <w:rFonts w:ascii="Times New Roman" w:hAnsi="Times New Roman"/>
          <w:b w:val="false"/>
          <w:i w:val="false"/>
          <w:color w:val="000000"/>
          <w:sz w:val="22"/>
        </w:rPr>
        <w:t>When requested by the regulatory authority for the purposes of conducting an inspection, the permit holder will provide an on-site person in charge within a reasonable time frame not to exceed four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Certified food protection manager requirements, exceptions, and time frames for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section 2-102.12(A) of the 2017 Food Code with Supplement, the food establishment may employ a single certified food protection manager who is not present at the food establishment during all hours of operation, as long as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who is a certified food protection manager has supervisory and management responsibility and the authority to direct and control food preparation and service at the food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in charge demonstrates knowledge as prescribed in section 2-102.11 of the 2017 Food Code with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in charge demonstrates active managerial control of food safety by complying with section 2-103.11 of the 2017 Food Code with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food establishment that, upon inspection, is found to be in violation of section 2-102.11 or 2-103.11 of the 2017 Food Code with Supplement will have six months to ensure that any individual designated as the person in charge is a certified food protection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section 2-102.12(B), the following food establishments are not required to employ a certified food protection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or farmers market food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Food establishments at which food is not prepared, where customers may purchase beverages and where the service of food is limited to the service of ice, beverages, prepackaged snack foods, popcorn or peanuts and to the reheating of commercially prepared foods for immediate service that do not require assembly, such as frozen pizza or prepackaged sandwiches.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Food establishments at which food is not prepared, where customers may purchase only commercially prepared non-time/temperature control for safety foods that are dispensed either unpackaged or packaged and that are intended for off-premises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Time frames for compliance with section 2-102.12 of the 2017 Food Code with Supplement, as amended by paragraphs </w:t>
      </w:r>
      <w:hyperlink r:id="rId5">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Newly licensed facilities will comply with section 2-102.12 of the 2017 Food Code with Supplement, as amended by paragraphs </w:t>
      </w:r>
      <w:hyperlink r:id="rId6">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within six months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meeting the requirement of paragraph </w:t>
      </w:r>
      <w:hyperlink r:id="rId7">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leaves employment, the establishment will comply with section 2-102.12 of the 2017 Food Code with Supplement, as amended by paragraphs </w:t>
      </w:r>
      <w:hyperlink r:id="rId8">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within six months of the individual’s departure.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Honey prepared in a residence. </w:t>
      </w:r>
      <w:r>
        <w:rPr>
          <w:rFonts w:ascii="Times New Roman" w:hAnsi="Times New Roman"/>
          <w:b w:val="false"/>
          <w:i w:val="false"/>
          <w:color w:val="000000"/>
          <w:sz w:val="22"/>
        </w:rPr>
        <w:t>Section 3-201.11 is amended to allow honey that is stored; prepared, including by placement in a container; or labeled at or distributed from the premises of a residence to be sold in a food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color w:val="000000"/>
          <w:sz w:val="22"/>
        </w:rPr>
        <w:t xml:space="preserve">Homemade food items prepared in a licensed home food processing establishment. </w:t>
      </w:r>
      <w:r>
        <w:rPr>
          <w:rFonts w:ascii="Times New Roman" w:hAnsi="Times New Roman"/>
          <w:b w:val="false"/>
          <w:i w:val="false"/>
          <w:color w:val="000000"/>
          <w:sz w:val="22"/>
        </w:rPr>
        <w:t xml:space="preserve">Section 3-201.11 is amended to allow homemade food items that are eligible for resale and are prepared, packaged, and labeled pursuant to </w:t>
      </w:r>
      <w:hyperlink r:id="rId9">
        <w:r>
          <w:rPr>
            <w:rStyle w:val="Hyperlink"/>
            <w:rFonts w:ascii="Times New Roman" w:hAnsi="Times New Roman"/>
            <w:b w:val="false"/>
            <w:i w:val="false"/>
            <w:color w:val="000000"/>
            <w:sz w:val="22"/>
          </w:rPr>
          <w:t>481—Chapter 34</w:t>
        </w:r>
      </w:hyperlink>
      <w:r>
        <w:rPr>
          <w:rFonts w:ascii="Times New Roman" w:hAnsi="Times New Roman"/>
          <w:b w:val="false"/>
          <w:i w:val="false"/>
          <w:color w:val="000000"/>
          <w:sz w:val="22"/>
        </w:rPr>
        <w:t xml:space="preserve"> to be offered for human consumption in a food establishment.</w:t>
      </w:r>
    </w:p>
    <w:p>
      <w:pPr>
        <w:spacing w:before="0" w:after="0"/>
        <w:ind w:left="120"/>
        <w:jc w:val="both"/>
      </w:pPr>
      <w:r>
        <w:rPr>
          <w:rFonts w:ascii="Times New Roman" w:hAnsi="Times New Roman"/>
          <w:b/>
          <w:i w:val="false"/>
          <w:color w:val="000000"/>
          <w:sz w:val="22"/>
        </w:rPr>
        <w:t>31.1(5)</w:t>
      </w:r>
      <w:r>
        <w:rPr>
          <w:rFonts w:ascii="Times New Roman" w:hAnsi="Times New Roman"/>
          <w:b w:val="false"/>
          <w:i w:val="false"/>
          <w:color w:val="000000"/>
          <w:sz w:val="22"/>
        </w:rPr>
        <w:t> </w:t>
      </w:r>
      <w:r>
        <w:rPr>
          <w:rFonts w:ascii="Times New Roman" w:hAnsi="Times New Roman"/>
          <w:b w:val="false"/>
          <w:i/>
          <w:color w:val="000000"/>
          <w:sz w:val="22"/>
        </w:rPr>
        <w:t xml:space="preserve">Wild-harvested mushrooms. </w:t>
      </w:r>
      <w:r>
        <w:rPr>
          <w:rFonts w:ascii="Times New Roman" w:hAnsi="Times New Roman"/>
          <w:b w:val="false"/>
          <w:i w:val="false"/>
          <w:color w:val="000000"/>
          <w:sz w:val="22"/>
        </w:rPr>
        <w:t>Section 3-201.16, paragraph (A), is amended by adding the following:</w:t>
      </w:r>
    </w:p>
    <w:p>
      <w:pPr>
        <w:spacing w:before="0" w:after="0"/>
        <w:ind w:left="120"/>
        <w:jc w:val="both"/>
      </w:pPr>
      <w:r>
        <w:rPr>
          <w:rFonts w:ascii="Times New Roman" w:hAnsi="Times New Roman"/>
          <w:b w:val="false"/>
          <w:i w:val="false"/>
          <w:color w:val="000000"/>
          <w:sz w:val="22"/>
        </w:rPr>
        <w:t>“A food establishment or farmers market time/temperature control for safety food licensee may sell or serve wild-harvested mushrooms provided:</w:t>
      </w:r>
    </w:p>
    <w:p>
      <w:pPr>
        <w:spacing w:before="0" w:after="0"/>
        <w:ind w:left="120"/>
        <w:jc w:val="both"/>
      </w:pPr>
      <w:r>
        <w:rPr>
          <w:rFonts w:ascii="Times New Roman" w:hAnsi="Times New Roman"/>
          <w:b w:val="false"/>
          <w:i w:val="false"/>
          <w:color w:val="000000"/>
          <w:sz w:val="22"/>
        </w:rPr>
        <w:t>“a. All wild-harvested mushrooms sold or served are varieties classified as one of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418"/>
        <w:gridCol w:w="6534"/>
      </w:tblGrid>
      <w:tr>
        <w:trPr>
          <w:trHeight w:val="195" w:hRule="atLeast"/>
        </w:trPr>
        <w:tc>
          <w:tcPr>
            <w:tcW w:w="24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Common name</w:t>
            </w:r>
          </w:p>
        </w:tc>
        <w:tc>
          <w:tcPr>
            <w:tcW w:w="653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Scientific name</w:t>
            </w:r>
          </w:p>
        </w:tc>
      </w:tr>
      <w:tr>
        <w:trPr>
          <w:trHeight w:val="210" w:hRule="atLeast"/>
        </w:trPr>
        <w:tc>
          <w:tcPr>
            <w:tcW w:w="24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Morel</w:t>
            </w:r>
          </w:p>
        </w:tc>
        <w:tc>
          <w:tcPr>
            <w:tcW w:w="65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Morchella</w:t>
            </w:r>
            <w:r>
              <w:rPr>
                <w:rFonts w:ascii="Times New Roman" w:hAnsi="Times New Roman"/>
                <w:b w:val="false"/>
                <w:i w:val="false"/>
                <w:color w:val="000000"/>
                <w:sz w:val="14"/>
              </w:rPr>
              <w:t xml:space="preserve"> spp. (</w:t>
            </w:r>
            <w:r>
              <w:rPr>
                <w:rFonts w:ascii="Times New Roman" w:hAnsi="Times New Roman"/>
                <w:b w:val="false"/>
                <w:i/>
                <w:color w:val="000000"/>
                <w:sz w:val="14"/>
              </w:rPr>
              <w:t>M. americana, M. angusticeps, M. punctipes</w:t>
            </w:r>
            <w:r>
              <w:rPr>
                <w:rFonts w:ascii="Times New Roman" w:hAnsi="Times New Roman"/>
                <w:b w:val="false"/>
                <w:i w:val="false"/>
                <w:color w:val="000000"/>
                <w:sz w:val="14"/>
              </w:rPr>
              <w:t>)</w:t>
            </w:r>
          </w:p>
        </w:tc>
      </w:tr>
      <w:tr>
        <w:trPr>
          <w:trHeight w:val="360" w:hRule="atLeast"/>
        </w:trPr>
        <w:tc>
          <w:tcPr>
            <w:tcW w:w="24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Oyster</w:t>
            </w:r>
          </w:p>
        </w:tc>
        <w:tc>
          <w:tcPr>
            <w:tcW w:w="65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Pleurotus citrinopileatus, Pleurotus ostreatus, Pleurotus populinus,</w:t>
            </w:r>
            <w:r>
              <w:rPr>
                <w:rFonts w:ascii="Times New Roman" w:hAnsi="Times New Roman"/>
                <w:b w:val="false"/>
                <w:i w:val="false"/>
                <w:color w:val="000000"/>
                <w:sz w:val="14"/>
              </w:rPr>
              <w:t xml:space="preserve"> or </w:t>
            </w:r>
            <w:r>
              <w:rPr>
                <w:rFonts w:ascii="Times New Roman" w:hAnsi="Times New Roman"/>
                <w:b w:val="false"/>
                <w:i/>
                <w:color w:val="000000"/>
                <w:sz w:val="14"/>
              </w:rPr>
              <w:t>Pleurotus pulmonarious</w:t>
            </w:r>
          </w:p>
        </w:tc>
      </w:tr>
      <w:tr>
        <w:trPr>
          <w:trHeight w:val="210" w:hRule="atLeast"/>
        </w:trPr>
        <w:tc>
          <w:tcPr>
            <w:tcW w:w="24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Chicken of the woods</w:t>
            </w:r>
          </w:p>
        </w:tc>
        <w:tc>
          <w:tcPr>
            <w:tcW w:w="65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 xml:space="preserve">Laetiporus </w:t>
            </w:r>
            <w:r>
              <w:rPr>
                <w:rFonts w:ascii="Times New Roman" w:hAnsi="Times New Roman"/>
                <w:b w:val="false"/>
                <w:i/>
                <w:color w:val="000000"/>
                <w:sz w:val="14"/>
              </w:rPr>
              <w:t>(L. cincinnatus, L. sulphureus</w:t>
            </w:r>
            <w:r>
              <w:rPr>
                <w:rFonts w:ascii="Times New Roman" w:hAnsi="Times New Roman"/>
                <w:b w:val="false"/>
                <w:i w:val="false"/>
                <w:color w:val="000000"/>
                <w:sz w:val="14"/>
              </w:rPr>
              <w:t>)</w:t>
            </w:r>
          </w:p>
        </w:tc>
      </w:tr>
      <w:tr>
        <w:trPr>
          <w:trHeight w:val="195" w:hRule="atLeast"/>
        </w:trPr>
        <w:tc>
          <w:tcPr>
            <w:tcW w:w="24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Hen of the woods</w:t>
            </w:r>
          </w:p>
        </w:tc>
        <w:tc>
          <w:tcPr>
            <w:tcW w:w="65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Grifola frondosa</w:t>
            </w:r>
          </w:p>
        </w:tc>
      </w:tr>
      <w:tr>
        <w:trPr>
          <w:trHeight w:val="210" w:hRule="atLeast"/>
        </w:trPr>
        <w:tc>
          <w:tcPr>
            <w:tcW w:w="24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Chanterelle</w:t>
            </w:r>
          </w:p>
        </w:tc>
        <w:tc>
          <w:tcPr>
            <w:tcW w:w="65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Cantharellus cibarius</w:t>
            </w:r>
            <w:r>
              <w:rPr>
                <w:rFonts w:ascii="Times New Roman" w:hAnsi="Times New Roman"/>
                <w:b w:val="false"/>
                <w:i w:val="false"/>
                <w:color w:val="000000"/>
                <w:sz w:val="14"/>
              </w:rPr>
              <w:t xml:space="preserve"> group</w:t>
            </w:r>
          </w:p>
        </w:tc>
      </w:tr>
      <w:tr>
        <w:trPr>
          <w:trHeight w:val="360" w:hRule="atLeast"/>
        </w:trPr>
        <w:tc>
          <w:tcPr>
            <w:tcW w:w="24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Bear’s head tooth, Lion’s mane </w:t>
            </w:r>
          </w:p>
        </w:tc>
        <w:tc>
          <w:tcPr>
            <w:tcW w:w="65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Hericium</w:t>
            </w:r>
            <w:r>
              <w:rPr>
                <w:rFonts w:ascii="Times New Roman" w:hAnsi="Times New Roman"/>
                <w:b w:val="false"/>
                <w:i w:val="false"/>
                <w:color w:val="000000"/>
                <w:sz w:val="14"/>
              </w:rPr>
              <w:t xml:space="preserve"> spp. </w:t>
            </w:r>
            <w:r>
              <w:rPr>
                <w:rFonts w:ascii="Times New Roman" w:hAnsi="Times New Roman"/>
                <w:b w:val="false"/>
                <w:i/>
                <w:color w:val="000000"/>
                <w:sz w:val="14"/>
              </w:rPr>
              <w:t>(H. erinaceus, H. americanum)</w:t>
            </w:r>
          </w:p>
        </w:tc>
      </w:tr>
      <w:tr>
        <w:trPr>
          <w:trHeight w:val="195" w:hRule="atLeast"/>
        </w:trPr>
        <w:tc>
          <w:tcPr>
            <w:tcW w:w="24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Pheasant back</w:t>
            </w:r>
          </w:p>
        </w:tc>
        <w:tc>
          <w:tcPr>
            <w:tcW w:w="65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Polyporus squamosus</w:t>
            </w:r>
          </w:p>
        </w:tc>
      </w:tr>
      <w:tr>
        <w:trPr>
          <w:trHeight w:val="195" w:hRule="atLeast"/>
        </w:trPr>
        <w:tc>
          <w:tcPr>
            <w:tcW w:w="241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Black trumpet</w:t>
            </w:r>
          </w:p>
        </w:tc>
        <w:tc>
          <w:tcPr>
            <w:tcW w:w="65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Craterellus cornucopoides</w:t>
            </w:r>
          </w:p>
        </w:tc>
      </w:tr>
    </w:tbl>
    <w:p>
      <w:pPr>
        <w:spacing w:before="0" w:after="0"/>
        <w:ind w:left="120"/>
        <w:jc w:val="both"/>
      </w:pPr>
      <w:r>
        <w:rPr>
          <w:rFonts w:ascii="Times New Roman" w:hAnsi="Times New Roman"/>
          <w:b w:val="false"/>
          <w:i w:val="false"/>
          <w:color w:val="000000"/>
          <w:sz w:val="22"/>
        </w:rPr>
        <w:t>“b. All wild-harvested mushrooms sold or served in a food establishment must be obtained from sources where each mushroom is individually inspected and found to be safe by a certified wild-harvested mushroom identification expert.</w:t>
      </w:r>
    </w:p>
    <w:p>
      <w:pPr>
        <w:spacing w:before="0" w:after="0"/>
        <w:ind w:left="120"/>
        <w:jc w:val="both"/>
      </w:pPr>
      <w:r>
        <w:rPr>
          <w:rFonts w:ascii="Times New Roman" w:hAnsi="Times New Roman"/>
          <w:b w:val="false"/>
          <w:i w:val="false"/>
          <w:color w:val="000000"/>
          <w:sz w:val="22"/>
        </w:rPr>
        <w:t>“c. All wild-harvested mushroom species sold or served in a food establishment must have a written buyer specification. The buyer shall retain the written buyer specification for 90 days from the date of sale or service that must include:</w:t>
      </w:r>
    </w:p>
    <w:p>
      <w:pPr>
        <w:spacing w:before="0" w:after="0"/>
        <w:ind w:left="120"/>
        <w:jc w:val="both"/>
      </w:pPr>
      <w:r>
        <w:rPr>
          <w:rFonts w:ascii="Times New Roman" w:hAnsi="Times New Roman"/>
          <w:b w:val="false"/>
          <w:i w:val="false"/>
          <w:color w:val="000000"/>
          <w:sz w:val="22"/>
        </w:rPr>
        <w:t>“1. Identification of each mushroom species by the scientific and common name;</w:t>
      </w:r>
    </w:p>
    <w:p>
      <w:pPr>
        <w:spacing w:before="0" w:after="0"/>
        <w:ind w:left="120"/>
        <w:jc w:val="both"/>
      </w:pPr>
      <w:r>
        <w:rPr>
          <w:rFonts w:ascii="Times New Roman" w:hAnsi="Times New Roman"/>
          <w:b w:val="false"/>
          <w:i w:val="false"/>
          <w:color w:val="000000"/>
          <w:sz w:val="22"/>
        </w:rPr>
        <w:t>“2. Date of purchase;</w:t>
      </w:r>
    </w:p>
    <w:p>
      <w:pPr>
        <w:spacing w:before="0" w:after="0"/>
        <w:ind w:left="120"/>
        <w:jc w:val="both"/>
      </w:pPr>
      <w:r>
        <w:rPr>
          <w:rFonts w:ascii="Times New Roman" w:hAnsi="Times New Roman"/>
          <w:b w:val="false"/>
          <w:i w:val="false"/>
          <w:color w:val="000000"/>
          <w:sz w:val="22"/>
        </w:rPr>
        <w:t>“3. Quantity by weight of each species received;</w:t>
      </w:r>
    </w:p>
    <w:p>
      <w:pPr>
        <w:spacing w:before="0" w:after="0"/>
        <w:ind w:left="120"/>
        <w:jc w:val="both"/>
      </w:pPr>
      <w:r>
        <w:rPr>
          <w:rFonts w:ascii="Times New Roman" w:hAnsi="Times New Roman"/>
          <w:b w:val="false"/>
          <w:i w:val="false"/>
          <w:color w:val="000000"/>
          <w:sz w:val="22"/>
        </w:rPr>
        <w:t>“4. A statement indicating that each mushroom was identified in its fresh state and was not mixed or in contact with other mushroom species;</w:t>
      </w:r>
    </w:p>
    <w:p>
      <w:pPr>
        <w:spacing w:before="0" w:after="0"/>
        <w:ind w:left="120"/>
        <w:jc w:val="both"/>
      </w:pPr>
      <w:r>
        <w:rPr>
          <w:rFonts w:ascii="Times New Roman" w:hAnsi="Times New Roman"/>
          <w:b w:val="false"/>
          <w:i w:val="false"/>
          <w:color w:val="000000"/>
          <w:sz w:val="22"/>
        </w:rPr>
        <w:t>“5. The name, address, and telephone number of the certified wild-harvested mushroom identification expert;</w:t>
      </w:r>
    </w:p>
    <w:p>
      <w:pPr>
        <w:spacing w:before="0" w:after="0"/>
        <w:ind w:left="120"/>
        <w:jc w:val="both"/>
      </w:pPr>
      <w:r>
        <w:rPr>
          <w:rFonts w:ascii="Times New Roman" w:hAnsi="Times New Roman"/>
          <w:b w:val="false"/>
          <w:i w:val="false"/>
          <w:color w:val="000000"/>
          <w:sz w:val="22"/>
        </w:rPr>
        <w:t>“6. A copy of the certified wild-harvested mushroom identification expert’s certificate of successful completion of the program, including the date of completion.</w:t>
      </w:r>
    </w:p>
    <w:p>
      <w:pPr>
        <w:spacing w:before="0" w:after="0"/>
        <w:ind w:left="120"/>
        <w:jc w:val="both"/>
      </w:pPr>
      <w:r>
        <w:rPr>
          <w:rFonts w:ascii="Times New Roman" w:hAnsi="Times New Roman"/>
          <w:b w:val="false"/>
          <w:i w:val="false"/>
          <w:color w:val="000000"/>
          <w:sz w:val="22"/>
        </w:rPr>
        <w:t>“d. A consumer advisory shall inform consumers by brochures, deli case, menu advisories, label statements, table tents, placards, or other effective written means that ‘wild-harvested mushrooms should be thoroughly cooked and may cause allergic reactions or other effects.’</w:t>
      </w:r>
    </w:p>
    <w:p>
      <w:pPr>
        <w:spacing w:before="0" w:after="0"/>
        <w:ind w:left="120"/>
        <w:jc w:val="both"/>
      </w:pPr>
      <w:r>
        <w:rPr>
          <w:rFonts w:ascii="Times New Roman" w:hAnsi="Times New Roman"/>
          <w:b w:val="false"/>
          <w:i w:val="false"/>
          <w:color w:val="000000"/>
          <w:sz w:val="22"/>
        </w:rPr>
        <w:t>“e. This section does not apply to cultivated mushrooms or mushrooms that have been packaged in an approved food processing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w:t>
      </w:r>
      <w:r>
        <w:rPr>
          <w:rFonts w:ascii="Times New Roman" w:hAnsi="Times New Roman"/>
          <w:b w:val="false"/>
          <w:i w:val="false"/>
          <w:color w:val="000000"/>
          <w:sz w:val="22"/>
        </w:rPr>
        <w:t> </w:t>
      </w:r>
      <w:r>
        <w:rPr>
          <w:rFonts w:ascii="Times New Roman" w:hAnsi="Times New Roman"/>
          <w:b w:val="false"/>
          <w:i/>
          <w:color w:val="000000"/>
          <w:sz w:val="22"/>
        </w:rPr>
        <w:t xml:space="preserve">Field-dressed wild game prohibition. </w:t>
      </w:r>
      <w:r>
        <w:rPr>
          <w:rFonts w:ascii="Times New Roman" w:hAnsi="Times New Roman"/>
          <w:b w:val="false"/>
          <w:i w:val="false"/>
          <w:color w:val="000000"/>
          <w:sz w:val="22"/>
        </w:rPr>
        <w:t>Subparagraph 3-201.17(A)(4) is amended to state that field-dressed wild game shall not be permitted in food establishments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food establishment is also licensed and inspected by the Iowa department of agriculture and land stewardship (IDALS) meat and poultry inspection bureau pursuant to Iowa Code chapter </w:t>
      </w:r>
      <w:hyperlink r:id="rId10">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field-dressed wild game is adequately separated from food, equipment, utensils, clean linens, and single-service and single-use articles;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equipment used in the processing of field-dressed wild game is adequately cleaned and sanitized before use with other foods.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w:t>
      </w:r>
      <w:r>
        <w:rPr>
          <w:rFonts w:ascii="Times New Roman" w:hAnsi="Times New Roman"/>
          <w:b w:val="false"/>
          <w:i w:val="false"/>
          <w:color w:val="000000"/>
          <w:sz w:val="22"/>
        </w:rPr>
        <w:t> </w:t>
      </w:r>
      <w:r>
        <w:rPr>
          <w:rFonts w:ascii="Times New Roman" w:hAnsi="Times New Roman"/>
          <w:b w:val="false"/>
          <w:i/>
          <w:color w:val="000000"/>
          <w:sz w:val="22"/>
        </w:rPr>
        <w:t xml:space="preserve">Reduced oxygen packaging in meat and poultry processing plants. </w:t>
      </w:r>
      <w:r>
        <w:rPr>
          <w:rFonts w:ascii="Times New Roman" w:hAnsi="Times New Roman"/>
          <w:b w:val="false"/>
          <w:i w:val="false"/>
          <w:color w:val="000000"/>
          <w:sz w:val="22"/>
        </w:rPr>
        <w:t xml:space="preserve">Meat and poultry processing plants that are licensed and inspected by the IDALS meat and poultry inspection bureau pursuant to Iowa Code chapter </w:t>
      </w:r>
      <w:hyperlink r:id="rId11">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and that are also licensed as a food establishment are exempt from section 3-502.11, paragraphs (A), (B), (D) and (F), and section 3-502.12 if these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food product formulation has been approved by the IDALS meat and poultry inspection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approved formulation (T40/45) is maintained on file at the establishment and made available to the regulatory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Cooked products that do not include a curing agent or an antimicrobial agent that will control </w:t>
      </w:r>
      <w:r>
        <w:rPr>
          <w:rFonts w:ascii="Times New Roman" w:hAnsi="Times New Roman"/>
          <w:b w:val="false"/>
          <w:i/>
          <w:color w:val="000000"/>
          <w:sz w:val="22"/>
        </w:rPr>
        <w:t>Clostridium botulinum</w:t>
      </w:r>
      <w:r>
        <w:rPr>
          <w:rFonts w:ascii="Times New Roman" w:hAnsi="Times New Roman"/>
          <w:b w:val="false"/>
          <w:i w:val="false"/>
          <w:color w:val="000000"/>
          <w:sz w:val="22"/>
        </w:rPr>
        <w:t xml:space="preserve"> and </w:t>
      </w:r>
      <w:r>
        <w:rPr>
          <w:rFonts w:ascii="Times New Roman" w:hAnsi="Times New Roman"/>
          <w:b w:val="false"/>
          <w:i/>
          <w:color w:val="000000"/>
          <w:sz w:val="22"/>
        </w:rPr>
        <w:t>Listeria monocytogenes</w:t>
      </w:r>
      <w:r>
        <w:rPr>
          <w:rFonts w:ascii="Times New Roman" w:hAnsi="Times New Roman"/>
          <w:b w:val="false"/>
          <w:i w:val="false"/>
          <w:color w:val="000000"/>
          <w:sz w:val="22"/>
        </w:rPr>
        <w:t xml:space="preserve"> that are in a reduced oxygen package are stored and sold frozen and are labeled “Keep Frozen”;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food products are properly labeled.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31.1(8)</w:t>
      </w:r>
      <w:r>
        <w:rPr>
          <w:rFonts w:ascii="Times New Roman" w:hAnsi="Times New Roman"/>
          <w:b w:val="false"/>
          <w:i w:val="false"/>
          <w:color w:val="000000"/>
          <w:sz w:val="22"/>
        </w:rPr>
        <w:t> </w:t>
      </w:r>
      <w:r>
        <w:rPr>
          <w:rFonts w:ascii="Times New Roman" w:hAnsi="Times New Roman"/>
          <w:b w:val="false"/>
          <w:i/>
          <w:color w:val="000000"/>
          <w:sz w:val="22"/>
        </w:rPr>
        <w:t xml:space="preserve">Warewashing sinks in establishments serving alcoholic beverages. </w:t>
      </w:r>
      <w:r>
        <w:rPr>
          <w:rFonts w:ascii="Times New Roman" w:hAnsi="Times New Roman"/>
          <w:b w:val="false"/>
          <w:i w:val="false"/>
          <w:color w:val="000000"/>
          <w:sz w:val="22"/>
        </w:rPr>
        <w:t>Section 4-301.12 is amended by adding the following: “When alcoholic beverages are served in a food service establishment, a sink with at least three compartments shall be used in the bar area for manual washing, rinsing and sanitizing of bar utensils and glasses. When food is served in a bar, a separate three-compartment sink for washing, rinsing and sanitizing food-related dishes shall be used in the kitchen area, unless a dishwasher is used to wash utensils.”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31.1(9)</w:t>
      </w:r>
      <w:r>
        <w:rPr>
          <w:rFonts w:ascii="Times New Roman" w:hAnsi="Times New Roman"/>
          <w:b w:val="false"/>
          <w:i w:val="false"/>
          <w:color w:val="000000"/>
          <w:sz w:val="22"/>
        </w:rPr>
        <w:t> </w:t>
      </w:r>
      <w:r>
        <w:rPr>
          <w:rFonts w:ascii="Times New Roman" w:hAnsi="Times New Roman"/>
          <w:b w:val="false"/>
          <w:i/>
          <w:color w:val="000000"/>
          <w:sz w:val="22"/>
        </w:rPr>
        <w:t xml:space="preserve">Prohibiting animals. </w:t>
      </w:r>
      <w:r>
        <w:rPr>
          <w:rFonts w:ascii="Times New Roman" w:hAnsi="Times New Roman"/>
          <w:b w:val="false"/>
          <w:i w:val="false"/>
          <w:color w:val="000000"/>
          <w:sz w:val="22"/>
        </w:rPr>
        <w:t>Section 6-501.115, paragraph (B), is amended by adding the following:</w:t>
      </w:r>
    </w:p>
    <w:p>
      <w:pPr>
        <w:spacing w:before="0" w:after="0"/>
        <w:ind w:left="120"/>
        <w:jc w:val="both"/>
      </w:pPr>
      <w:r>
        <w:rPr>
          <w:rFonts w:ascii="Times New Roman" w:hAnsi="Times New Roman"/>
          <w:b w:val="false"/>
          <w:i w:val="false"/>
          <w:color w:val="000000"/>
          <w:sz w:val="22"/>
        </w:rPr>
        <w:t>“(6) Pet dogs may be allowed on exterior premises of a food establishment, including outdoor patio and outdoor dining areas, provided the food establishment meets these requirements:</w:t>
      </w:r>
    </w:p>
    <w:p>
      <w:pPr>
        <w:spacing w:before="0" w:after="0"/>
        <w:ind w:left="120"/>
        <w:jc w:val="both"/>
      </w:pPr>
      <w:r>
        <w:rPr>
          <w:rFonts w:ascii="Times New Roman" w:hAnsi="Times New Roman"/>
          <w:b w:val="false"/>
          <w:i w:val="false"/>
          <w:color w:val="000000"/>
          <w:sz w:val="22"/>
        </w:rPr>
        <w:t>“a. A separate entrance is present so that pet dogs do not enter the food establishment to access the outdoor area;</w:t>
      </w:r>
    </w:p>
    <w:p>
      <w:pPr>
        <w:spacing w:before="0" w:after="0"/>
        <w:ind w:left="120"/>
        <w:jc w:val="both"/>
      </w:pPr>
      <w:r>
        <w:rPr>
          <w:rFonts w:ascii="Times New Roman" w:hAnsi="Times New Roman"/>
          <w:b w:val="false"/>
          <w:i w:val="false"/>
          <w:color w:val="000000"/>
          <w:sz w:val="22"/>
        </w:rPr>
        <w:t>“b. No food preparation is allowed in the outdoor area, including mixing or dispensing drinks and ice;</w:t>
      </w:r>
    </w:p>
    <w:p>
      <w:pPr>
        <w:spacing w:before="0" w:after="0"/>
        <w:ind w:left="120"/>
        <w:jc w:val="both"/>
      </w:pPr>
      <w:r>
        <w:rPr>
          <w:rFonts w:ascii="Times New Roman" w:hAnsi="Times New Roman"/>
          <w:b w:val="false"/>
          <w:i w:val="false"/>
          <w:color w:val="000000"/>
          <w:sz w:val="22"/>
        </w:rPr>
        <w:t>“c. Customer multiservice or reusable utensils such as plates, silverware, glasses, and bowls are not stored, displayed, or preset in the outdoor area;</w:t>
      </w:r>
    </w:p>
    <w:p>
      <w:pPr>
        <w:spacing w:before="0" w:after="0"/>
        <w:ind w:left="120"/>
        <w:jc w:val="both"/>
      </w:pPr>
      <w:r>
        <w:rPr>
          <w:rFonts w:ascii="Times New Roman" w:hAnsi="Times New Roman"/>
          <w:b w:val="false"/>
          <w:i w:val="false"/>
          <w:color w:val="000000"/>
          <w:sz w:val="22"/>
        </w:rPr>
        <w:t>“d. Food or water provided to pet dogs shall be in single-use disposable containers provided by the food establishment or a container provided by the pet owner that is filled without any contact between the container and any dispensing item of the food establishment;</w:t>
      </w:r>
    </w:p>
    <w:p>
      <w:pPr>
        <w:spacing w:before="0" w:after="0"/>
        <w:ind w:left="120"/>
        <w:jc w:val="both"/>
      </w:pPr>
      <w:r>
        <w:rPr>
          <w:rFonts w:ascii="Times New Roman" w:hAnsi="Times New Roman"/>
          <w:b w:val="false"/>
          <w:i w:val="false"/>
          <w:color w:val="000000"/>
          <w:sz w:val="22"/>
        </w:rPr>
        <w:t>“e. Employees are prohibited from direct contact with pet dogs while on duty;</w:t>
      </w:r>
    </w:p>
    <w:p>
      <w:pPr>
        <w:spacing w:before="0" w:after="0"/>
        <w:ind w:left="120"/>
        <w:jc w:val="both"/>
      </w:pPr>
      <w:r>
        <w:rPr>
          <w:rFonts w:ascii="Times New Roman" w:hAnsi="Times New Roman"/>
          <w:b w:val="false"/>
          <w:i w:val="false"/>
          <w:color w:val="000000"/>
          <w:sz w:val="22"/>
        </w:rPr>
        <w:t>“f. The outdoor area is maintained clean;</w:t>
      </w:r>
    </w:p>
    <w:p>
      <w:pPr>
        <w:spacing w:before="0" w:after="0"/>
        <w:ind w:left="120"/>
        <w:jc w:val="both"/>
      </w:pPr>
      <w:r>
        <w:rPr>
          <w:rFonts w:ascii="Times New Roman" w:hAnsi="Times New Roman"/>
          <w:b w:val="false"/>
          <w:i w:val="false"/>
          <w:color w:val="000000"/>
          <w:sz w:val="22"/>
        </w:rPr>
        <w:t>“g. In cases where excrement or bodily fluids (urine, saliva, vomit, or the like) are deposited, an employee shall immediately ensure the area is cleaned and sanitized;</w:t>
      </w:r>
    </w:p>
    <w:p>
      <w:pPr>
        <w:spacing w:before="0" w:after="0"/>
        <w:ind w:left="120"/>
        <w:jc w:val="both"/>
      </w:pPr>
      <w:r>
        <w:rPr>
          <w:rFonts w:ascii="Times New Roman" w:hAnsi="Times New Roman"/>
          <w:b w:val="false"/>
          <w:i w:val="false"/>
          <w:color w:val="000000"/>
          <w:sz w:val="22"/>
        </w:rPr>
        <w:t>“h. The outdoor area shall not be fully enclosed (an enclosed area is considered part of the interior of the facility);</w:t>
      </w:r>
    </w:p>
    <w:p>
      <w:pPr>
        <w:spacing w:before="0" w:after="0"/>
        <w:ind w:left="120"/>
        <w:jc w:val="both"/>
      </w:pPr>
      <w:r>
        <w:rPr>
          <w:rFonts w:ascii="Times New Roman" w:hAnsi="Times New Roman"/>
          <w:b w:val="false"/>
          <w:i w:val="false"/>
          <w:color w:val="000000"/>
          <w:sz w:val="22"/>
        </w:rPr>
        <w:t>“i. Disruptive pet dogs must be controlled or removed from the premises;</w:t>
      </w:r>
    </w:p>
    <w:p>
      <w:pPr>
        <w:spacing w:before="0" w:after="0"/>
        <w:ind w:left="120"/>
        <w:jc w:val="both"/>
      </w:pPr>
      <w:r>
        <w:rPr>
          <w:rFonts w:ascii="Times New Roman" w:hAnsi="Times New Roman"/>
          <w:b w:val="false"/>
          <w:i w:val="false"/>
          <w:color w:val="000000"/>
          <w:sz w:val="22"/>
        </w:rPr>
        <w:t>“j. Rules governing pet dogs shall be posted at each entrance of the food establishment and shall contain the following:</w:t>
      </w:r>
    </w:p>
    <w:p>
      <w:pPr>
        <w:spacing w:before="0" w:after="0"/>
        <w:ind w:left="120"/>
        <w:jc w:val="both"/>
      </w:pPr>
      <w:r>
        <w:rPr>
          <w:rFonts w:ascii="Times New Roman" w:hAnsi="Times New Roman"/>
          <w:b w:val="false"/>
          <w:i w:val="false"/>
          <w:color w:val="000000"/>
          <w:sz w:val="22"/>
        </w:rPr>
        <w:t>“i. Pet dogs shall be leashed at all times;</w:t>
      </w:r>
    </w:p>
    <w:p>
      <w:pPr>
        <w:spacing w:before="0" w:after="0"/>
        <w:ind w:left="120"/>
        <w:jc w:val="both"/>
      </w:pPr>
      <w:r>
        <w:rPr>
          <w:rFonts w:ascii="Times New Roman" w:hAnsi="Times New Roman"/>
          <w:b w:val="false"/>
          <w:i w:val="false"/>
          <w:color w:val="000000"/>
          <w:sz w:val="22"/>
        </w:rPr>
        <w:t>“ii. Pet dogs shall not enter any interior area of the food establishment at any time;</w:t>
      </w:r>
    </w:p>
    <w:p>
      <w:pPr>
        <w:spacing w:before="0" w:after="0"/>
        <w:ind w:left="120"/>
        <w:jc w:val="both"/>
      </w:pPr>
      <w:r>
        <w:rPr>
          <w:rFonts w:ascii="Times New Roman" w:hAnsi="Times New Roman"/>
          <w:b w:val="false"/>
          <w:i w:val="false"/>
          <w:color w:val="000000"/>
          <w:sz w:val="22"/>
        </w:rPr>
        <w:t>“iii. Pet dogs must be controlled at all times by the dog’s owner or designee;</w:t>
      </w:r>
    </w:p>
    <w:p>
      <w:pPr>
        <w:spacing w:before="0" w:after="0"/>
        <w:ind w:left="120"/>
        <w:jc w:val="both"/>
      </w:pPr>
      <w:r>
        <w:rPr>
          <w:rFonts w:ascii="Times New Roman" w:hAnsi="Times New Roman"/>
          <w:b w:val="false"/>
          <w:i w:val="false"/>
          <w:color w:val="000000"/>
          <w:sz w:val="22"/>
        </w:rPr>
        <w:t>“iv. Pet dogs are not permitted on chairs, tables, benches or seats;</w:t>
      </w:r>
    </w:p>
    <w:p>
      <w:pPr>
        <w:spacing w:before="0" w:after="0"/>
        <w:ind w:left="120"/>
        <w:jc w:val="both"/>
      </w:pPr>
      <w:r>
        <w:rPr>
          <w:rFonts w:ascii="Times New Roman" w:hAnsi="Times New Roman"/>
          <w:b w:val="false"/>
          <w:i w:val="false"/>
          <w:color w:val="000000"/>
          <w:sz w:val="22"/>
        </w:rPr>
        <w:t>“v. Pet dog owners must immediately notify the food establishment’s staff in the event that excrement or bodily fluids (urine, saliva, vomit, or the like) are deposited.</w:t>
      </w:r>
    </w:p>
    <w:p>
      <w:pPr>
        <w:spacing w:before="0" w:after="0"/>
        <w:ind w:left="120"/>
        <w:jc w:val="both"/>
      </w:pPr>
      <w:r>
        <w:rPr>
          <w:rFonts w:ascii="Times New Roman" w:hAnsi="Times New Roman"/>
          <w:b w:val="false"/>
          <w:i w:val="false"/>
          <w:color w:val="000000"/>
          <w:sz w:val="22"/>
        </w:rPr>
        <w:t>“(7) Pet dogs may be allowed on the interior premises of a food establishment that only stores, sells, distributes, or otherwise handles packaged food under these conditions:</w:t>
      </w:r>
    </w:p>
    <w:p>
      <w:pPr>
        <w:spacing w:before="0" w:after="0"/>
        <w:ind w:left="120"/>
        <w:jc w:val="both"/>
      </w:pPr>
      <w:r>
        <w:rPr>
          <w:rFonts w:ascii="Times New Roman" w:hAnsi="Times New Roman"/>
          <w:b w:val="false"/>
          <w:i w:val="false"/>
          <w:color w:val="000000"/>
          <w:sz w:val="22"/>
        </w:rPr>
        <w:t>“a. The food establishment is maintained clean;</w:t>
      </w:r>
    </w:p>
    <w:p>
      <w:pPr>
        <w:spacing w:before="0" w:after="0"/>
        <w:ind w:left="120"/>
        <w:jc w:val="both"/>
      </w:pPr>
      <w:r>
        <w:rPr>
          <w:rFonts w:ascii="Times New Roman" w:hAnsi="Times New Roman"/>
          <w:b w:val="false"/>
          <w:i w:val="false"/>
          <w:color w:val="000000"/>
          <w:sz w:val="22"/>
        </w:rPr>
        <w:t>“b. In cases where excrement or bodily fluids (urine, saliva, vomit, or the like) are deposited, an employee shall immediately ensure the area is cleaned and sanitized;</w:t>
      </w:r>
    </w:p>
    <w:p>
      <w:pPr>
        <w:spacing w:before="0" w:after="0"/>
        <w:ind w:left="120"/>
        <w:jc w:val="both"/>
      </w:pPr>
      <w:r>
        <w:rPr>
          <w:rFonts w:ascii="Times New Roman" w:hAnsi="Times New Roman"/>
          <w:b w:val="false"/>
          <w:i w:val="false"/>
          <w:color w:val="000000"/>
          <w:sz w:val="22"/>
        </w:rPr>
        <w:t>“c. Disruptive pet dogs must be controlled or removed from the premises;</w:t>
      </w:r>
    </w:p>
    <w:p>
      <w:pPr>
        <w:spacing w:before="0" w:after="0"/>
        <w:ind w:left="120"/>
        <w:jc w:val="both"/>
      </w:pPr>
      <w:r>
        <w:rPr>
          <w:rFonts w:ascii="Times New Roman" w:hAnsi="Times New Roman"/>
          <w:b w:val="false"/>
          <w:i w:val="false"/>
          <w:color w:val="000000"/>
          <w:sz w:val="22"/>
        </w:rPr>
        <w:t>“d. Rules governing pet dogs shall be displayed at or near the entrances of the food establishment and shall, at a minimum, contain the following:</w:t>
      </w:r>
    </w:p>
    <w:p>
      <w:pPr>
        <w:spacing w:before="0" w:after="0"/>
        <w:ind w:left="120"/>
        <w:jc w:val="both"/>
      </w:pPr>
      <w:r>
        <w:rPr>
          <w:rFonts w:ascii="Times New Roman" w:hAnsi="Times New Roman"/>
          <w:b w:val="false"/>
          <w:i w:val="false"/>
          <w:color w:val="000000"/>
          <w:sz w:val="22"/>
        </w:rPr>
        <w:t>“i. Pet dogs shall be leashed at all times;</w:t>
      </w:r>
    </w:p>
    <w:p>
      <w:pPr>
        <w:spacing w:before="0" w:after="0"/>
        <w:ind w:left="120"/>
        <w:jc w:val="both"/>
      </w:pPr>
      <w:r>
        <w:rPr>
          <w:rFonts w:ascii="Times New Roman" w:hAnsi="Times New Roman"/>
          <w:b w:val="false"/>
          <w:i w:val="false"/>
          <w:color w:val="000000"/>
          <w:sz w:val="22"/>
        </w:rPr>
        <w:t>“ii. Pet dogs must be controlled at all times by the dog’s owner or designee;</w:t>
      </w:r>
    </w:p>
    <w:p>
      <w:pPr>
        <w:spacing w:before="0" w:after="0"/>
        <w:ind w:left="120"/>
        <w:jc w:val="both"/>
      </w:pPr>
      <w:r>
        <w:rPr>
          <w:rFonts w:ascii="Times New Roman" w:hAnsi="Times New Roman"/>
          <w:b w:val="false"/>
          <w:i w:val="false"/>
          <w:color w:val="000000"/>
          <w:sz w:val="22"/>
        </w:rPr>
        <w:t>“iii. Pet dogs are not permitted on chairs, tables, benches, seats or in shopping carts;</w:t>
      </w:r>
    </w:p>
    <w:p>
      <w:pPr>
        <w:spacing w:before="0" w:after="0"/>
        <w:ind w:left="120"/>
        <w:jc w:val="both"/>
      </w:pPr>
      <w:r>
        <w:rPr>
          <w:rFonts w:ascii="Times New Roman" w:hAnsi="Times New Roman"/>
          <w:b w:val="false"/>
          <w:i w:val="false"/>
          <w:color w:val="000000"/>
          <w:sz w:val="22"/>
        </w:rPr>
        <w:t>“iv. Pet dog owners must immediately notify the food establishment’s staff in the event that excrement or bodily fluids (urine, saliva, vomit, or the like) are deposited.”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31.1(10)</w:t>
      </w:r>
      <w:r>
        <w:rPr>
          <w:rFonts w:ascii="Times New Roman" w:hAnsi="Times New Roman"/>
          <w:b w:val="false"/>
          <w:i w:val="false"/>
          <w:color w:val="000000"/>
          <w:sz w:val="22"/>
        </w:rPr>
        <w:t> </w:t>
      </w:r>
      <w:r>
        <w:rPr>
          <w:rFonts w:ascii="Times New Roman" w:hAnsi="Times New Roman"/>
          <w:b w:val="false"/>
          <w:i/>
          <w:color w:val="000000"/>
          <w:sz w:val="22"/>
        </w:rPr>
        <w:t xml:space="preserve">Inspection standards for elder group homes. </w:t>
      </w:r>
      <w:r>
        <w:rPr>
          <w:rFonts w:ascii="Times New Roman" w:hAnsi="Times New Roman"/>
          <w:b w:val="false"/>
          <w:i w:val="false"/>
          <w:color w:val="000000"/>
          <w:sz w:val="22"/>
        </w:rPr>
        <w:t xml:space="preserve">Elder group homes as defined by Iowa Code section </w:t>
      </w:r>
      <w:hyperlink r:id="rId12">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will be inspected by the department, but chapters 4 and 6 of the Food Code will not apply. Elder group homes will pay the lowest license fee set forth in </w:t>
      </w:r>
      <w:hyperlink r:id="rId13">
        <w:r>
          <w:rPr>
            <w:rStyle w:val="Hyperlink"/>
            <w:rFonts w:ascii="Times New Roman" w:hAnsi="Times New Roman"/>
            <w:b w:val="false"/>
            <w:i w:val="false"/>
            <w:color w:val="000000"/>
            <w:sz w:val="22"/>
          </w:rPr>
          <w:t>481—subrule 30.4(2)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31.1(11)</w:t>
      </w:r>
      <w:r>
        <w:rPr>
          <w:rFonts w:ascii="Times New Roman" w:hAnsi="Times New Roman"/>
          <w:b w:val="false"/>
          <w:i w:val="false"/>
          <w:color w:val="000000"/>
          <w:sz w:val="22"/>
        </w:rPr>
        <w:t> </w:t>
      </w:r>
      <w:r>
        <w:rPr>
          <w:rFonts w:ascii="Times New Roman" w:hAnsi="Times New Roman"/>
          <w:b w:val="false"/>
          <w:i/>
          <w:color w:val="000000"/>
          <w:sz w:val="22"/>
        </w:rPr>
        <w:t xml:space="preserve">Nonprofit exception for temporary events. </w:t>
      </w:r>
      <w:r>
        <w:rPr>
          <w:rFonts w:ascii="Times New Roman" w:hAnsi="Times New Roman"/>
          <w:b w:val="false"/>
          <w:i w:val="false"/>
          <w:color w:val="000000"/>
          <w:sz w:val="22"/>
        </w:rPr>
        <w:t xml:space="preserve">Nonprofit organizations that are licensed as temporary food establishments may serve non-time/temperature control for safety food from an unapproved source for the duration of the event but cannot serve home-canned pickles, vegetables, or fruits produced in accordance with Iowa Code chapter </w:t>
      </w:r>
      <w:hyperlink r:id="rId14">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31.1(12)</w:t>
      </w:r>
      <w:r>
        <w:rPr>
          <w:rFonts w:ascii="Times New Roman" w:hAnsi="Times New Roman"/>
          <w:b w:val="false"/>
          <w:i w:val="false"/>
          <w:color w:val="000000"/>
          <w:sz w:val="22"/>
        </w:rPr>
        <w:t> </w:t>
      </w:r>
      <w:r>
        <w:rPr>
          <w:rFonts w:ascii="Times New Roman" w:hAnsi="Times New Roman"/>
          <w:b w:val="false"/>
          <w:i/>
          <w:color w:val="000000"/>
          <w:sz w:val="22"/>
        </w:rPr>
        <w:t xml:space="preserve">Variance approval by department and submission of hazard analysis and critical control point (HACCP) plans. </w:t>
      </w:r>
      <w:r>
        <w:rPr>
          <w:rFonts w:ascii="Times New Roman" w:hAnsi="Times New Roman"/>
          <w:b w:val="false"/>
          <w:i w:val="false"/>
          <w:color w:val="000000"/>
          <w:sz w:val="22"/>
        </w:rPr>
        <w:t>Any variances or HACCP plans that require approval by the “regulatory authority” must be approved by the department. HACCP plans pursuant to paragraphs 3-502.12(B) and 8-201.13(B) shall be filed with the department prior to implementation, regardless of whether or not the plan requires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481—31.2</w:t>
      </w:r>
      <w:r>
        <w:rPr>
          <w:rFonts w:ascii="Times New Roman" w:hAnsi="Times New Roman"/>
          <w:b/>
          <w:i w:val="false"/>
          <w:color w:val="000000"/>
          <w:sz w:val="22"/>
        </w:rPr>
        <w:t xml:space="preserve">(137F) </w:t>
      </w:r>
      <w:r>
        <w:rPr>
          <w:rFonts w:ascii="Times New Roman" w:hAnsi="Times New Roman"/>
          <w:b/>
          <w:i w:val="false"/>
          <w:color w:val="000000"/>
          <w:sz w:val="22"/>
        </w:rPr>
        <w:t xml:space="preserve">Inspection standards for food processing plants. </w:t>
      </w:r>
      <w:r>
        <w:rPr>
          <w:rFonts w:ascii="Times New Roman" w:hAnsi="Times New Roman"/>
          <w:b w:val="false"/>
          <w:i w:val="false"/>
          <w:color w:val="000000"/>
          <w:sz w:val="22"/>
        </w:rPr>
        <w:t>The following are the inspection standards for food processing plants including food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definitions of “food,” “label,” “labeling,” and “dietary supplement” are as defined in 21 U.S.C. Section 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The prohibited acts identified in 21 U.S.C. Section 331(a) to (f), (k), and (v) are prohibited acts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Stop sale. </w:t>
      </w:r>
      <w:r>
        <w:rPr>
          <w:rFonts w:ascii="Times New Roman" w:hAnsi="Times New Roman"/>
          <w:b w:val="false"/>
          <w:i w:val="false"/>
          <w:color w:val="000000"/>
          <w:sz w:val="22"/>
        </w:rPr>
        <w:t xml:space="preserve">Any article of food that is adulterated or misbranded when introduced into commerce may be embargoed until such a time as the adulteration or misbranding is remedied or the product is destroyed. The action is immediate, but the licensee may appeal the decision following the process outlined in rule </w:t>
      </w:r>
      <w:hyperlink r:id="rId15">
        <w:r>
          <w:rPr>
            <w:rStyle w:val="Hyperlink"/>
            <w:rFonts w:ascii="Times New Roman" w:hAnsi="Times New Roman"/>
            <w:b w:val="false"/>
            <w:i w:val="false"/>
            <w:color w:val="000000"/>
            <w:sz w:val="22"/>
          </w:rPr>
          <w:t>481—30.11</w:t>
        </w:r>
      </w:hyperlink>
      <w:r>
        <w:rPr>
          <w:rFonts w:ascii="Times New Roman" w:hAnsi="Times New Roman"/>
          <w:b w:val="false"/>
          <w:i w:val="false"/>
          <w:color w:val="000000"/>
          <w:sz w:val="22"/>
        </w:rPr>
        <w:t>(10A,137C,137F).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color w:val="000000"/>
          <w:sz w:val="22"/>
        </w:rPr>
        <w:t xml:space="preserve">Standards for food. </w:t>
      </w:r>
      <w:r>
        <w:rPr>
          <w:rFonts w:ascii="Times New Roman" w:hAnsi="Times New Roman"/>
          <w:b w:val="false"/>
          <w:i w:val="false"/>
          <w:color w:val="000000"/>
          <w:sz w:val="22"/>
        </w:rPr>
        <w:t>If a standard that has been adopted for a food is adopted pursuant to 21 U.S.C. Section 341, the standard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31.2(5)</w:t>
      </w:r>
      <w:r>
        <w:rPr>
          <w:rFonts w:ascii="Times New Roman" w:hAnsi="Times New Roman"/>
          <w:b w:val="false"/>
          <w:i w:val="false"/>
          <w:color w:val="000000"/>
          <w:sz w:val="22"/>
        </w:rPr>
        <w:t> </w:t>
      </w:r>
      <w:r>
        <w:rPr>
          <w:rFonts w:ascii="Times New Roman" w:hAnsi="Times New Roman"/>
          <w:b w:val="false"/>
          <w:i/>
          <w:color w:val="000000"/>
          <w:sz w:val="22"/>
        </w:rPr>
        <w:t xml:space="preserve">Misbranded food. </w:t>
      </w:r>
      <w:r>
        <w:rPr>
          <w:rFonts w:ascii="Times New Roman" w:hAnsi="Times New Roman"/>
          <w:b w:val="false"/>
          <w:i w:val="false"/>
          <w:color w:val="000000"/>
          <w:sz w:val="22"/>
        </w:rPr>
        <w:t>A food is misbranded if it is found in violation of 21 U.S.C. Section 343.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31.2(6)</w:t>
      </w:r>
      <w:r>
        <w:rPr>
          <w:rFonts w:ascii="Times New Roman" w:hAnsi="Times New Roman"/>
          <w:b w:val="false"/>
          <w:i w:val="false"/>
          <w:color w:val="000000"/>
          <w:sz w:val="22"/>
        </w:rPr>
        <w:t> </w:t>
      </w:r>
      <w:r>
        <w:rPr>
          <w:rFonts w:ascii="Times New Roman" w:hAnsi="Times New Roman"/>
          <w:b w:val="false"/>
          <w:i/>
          <w:color w:val="000000"/>
          <w:sz w:val="22"/>
        </w:rPr>
        <w:t xml:space="preserve">New dietary ingredients. </w:t>
      </w:r>
      <w:r>
        <w:rPr>
          <w:rFonts w:ascii="Times New Roman" w:hAnsi="Times New Roman"/>
          <w:b w:val="false"/>
          <w:i w:val="false"/>
          <w:color w:val="000000"/>
          <w:sz w:val="22"/>
        </w:rPr>
        <w:t>New dietary ingredients shall comply with the process in 21 U.S.C. Section 350(b) or will be deemed adulterated.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31.2(7)</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Records shall be made available as required under 21 U.S.C. Section 373 for all interstate and intrastate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31.2(8)</w:t>
      </w:r>
      <w:r>
        <w:rPr>
          <w:rFonts w:ascii="Times New Roman" w:hAnsi="Times New Roman"/>
          <w:b w:val="false"/>
          <w:i w:val="false"/>
          <w:color w:val="000000"/>
          <w:sz w:val="22"/>
        </w:rPr>
        <w:t> </w:t>
      </w:r>
      <w:r>
        <w:rPr>
          <w:rFonts w:ascii="Times New Roman" w:hAnsi="Times New Roman"/>
          <w:b w:val="false"/>
          <w:i/>
          <w:color w:val="000000"/>
          <w:sz w:val="22"/>
        </w:rPr>
        <w:t xml:space="preserve">Adoption of Code of Federal Regulations. </w:t>
      </w:r>
      <w:r>
        <w:rPr>
          <w:rFonts w:ascii="Times New Roman" w:hAnsi="Times New Roman"/>
          <w:b w:val="false"/>
          <w:i w:val="false"/>
          <w:color w:val="000000"/>
          <w:sz w:val="22"/>
        </w:rPr>
        <w:t>The following parts of the Code of Federal Regulations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21 CFR Part 1, Sections 1.20 to 1.24 and Subpart O, Sections 1.900 to 1.934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21 CFR Part 7, Sections 7.1 to 7.13 and 7.40 to 7.59 (guaranty and recalls).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21 CFR Part 70, Sections 70.20 to 70.25 (labeling requirements for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21 CFR Part 73, Sections 73.1 to 73.615 (color additives exempt from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21 CFR Part 74.101 to 74.706 (listing of color additives subject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21 CFR Part 81, general specifications and general restrictions for provisional color additives for use in foods, drugs, and cosmetics.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21 CFR Part 82, Sections 82.3 to 82.706 (certified provisionally listed colors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21 CFR Part 100, Section 100.155 (specific provisions for salt and iodized salt).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21 CFR Part 101, except Sections 101.69 and 101.108 (food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21 CFR Part 102, except Section 102.19 (common or usual name for nonstandard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21 CFR Part 104, nutritional quality guidelines for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21 CFR Part 105, food for special dietary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21 CFR Part 106, except Section 106.120 (infant formula quality control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21 CFR Part 107, except Sections 107.200 to 107.280 (infant formula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21 CFR Part 108, Sections 108.25 to 108.35 (exceptions for when a permit is not required, acidified and thermal processing of low-acid foods packaged in hermetically sealed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21 CFR Part 109, unavoidable contaminants in food for human consumption and food-packaging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21 CFR Part 110, current good manufacturing practice in manufacturing, packing or holding human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21 CFR Part 111, current good manufacturing practice in manufacturing, packaging, labeling, or holding operations for dietary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21 CFR Part 113, thermally processed low-acid food packaged in hermetically sealed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21 CFR Part 114, acidified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21 CFR Part 115, shell eggs.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21 CFR Part 117, current good manufacturing practice and hazard analysis and risk-based preventive controls for human food shall apply, with the exception that warehousing operations located on the premises of residences that store unexposed, packaged frozen food for sale directly to a consumer customer or at a farmers market shall comply with subpart B of 21 CFR 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21 CFR Part 118, production, storage and transportation of shell eggs.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21 CFR Part 120, hazard analysis and critical control point (HACCP) systems (juice).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21 CFR Part 123, fish and fisheries products (seafood).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21 CFR Part 129, processing and bottling of bottled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21 CFR Part 130, except Sections 130.5, 130.6 and 130.17, food standards: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21 CFR Part 131, milk and cream.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21 CFR Part 133, cheeses and related cheese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21 CFR Part 135, frozen desserts.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21 CFR Part 136, bakery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21 CFR Part 137, cereal flours and related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21 CFR Part 139, macaroni and noodle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21 CFR Part 145, canned fruits.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21 CFR Part 146, canned fruit juices.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21 CFR Part 150, fruit butters, jellies, preserves, and related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21 CFR Part 152, fruit 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22"/>
        </w:rPr>
        <w:t>21 CFR Part 155, canned vegetables.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22"/>
        </w:rPr>
        <w:t>21 CFR Part 156, vegetable juices.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w:t>
      </w:r>
      <w:r>
        <w:rPr>
          <w:rFonts w:ascii="Times New Roman" w:hAnsi="Times New Roman"/>
          <w:b w:val="false"/>
          <w:i w:val="false"/>
          <w:color w:val="000000"/>
          <w:sz w:val="22"/>
        </w:rPr>
        <w:t>  </w:t>
      </w:r>
      <w:r>
        <w:rPr>
          <w:rFonts w:ascii="Times New Roman" w:hAnsi="Times New Roman"/>
          <w:b w:val="false"/>
          <w:i w:val="false"/>
          <w:color w:val="000000"/>
          <w:sz w:val="22"/>
        </w:rPr>
        <w:t>21 CFR Part 158, frozen vegetables.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w:t>
      </w:r>
      <w:r>
        <w:rPr>
          <w:rFonts w:ascii="Times New Roman" w:hAnsi="Times New Roman"/>
          <w:b w:val="false"/>
          <w:i w:val="false"/>
          <w:color w:val="000000"/>
          <w:sz w:val="22"/>
        </w:rPr>
        <w:t>  </w:t>
      </w:r>
      <w:r>
        <w:rPr>
          <w:rFonts w:ascii="Times New Roman" w:hAnsi="Times New Roman"/>
          <w:b w:val="false"/>
          <w:i w:val="false"/>
          <w:color w:val="000000"/>
          <w:sz w:val="22"/>
        </w:rPr>
        <w:t>21 CFR Part 160, egg and egg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w:t>
      </w:r>
      <w:r>
        <w:rPr>
          <w:rFonts w:ascii="Times New Roman" w:hAnsi="Times New Roman"/>
          <w:b w:val="false"/>
          <w:i w:val="false"/>
          <w:color w:val="000000"/>
          <w:sz w:val="22"/>
        </w:rPr>
        <w:t>  </w:t>
      </w:r>
      <w:r>
        <w:rPr>
          <w:rFonts w:ascii="Times New Roman" w:hAnsi="Times New Roman"/>
          <w:b w:val="false"/>
          <w:i w:val="false"/>
          <w:color w:val="000000"/>
          <w:sz w:val="22"/>
        </w:rPr>
        <w:t>21 CFR Part 161, fish and shellfish.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aq.</w:t>
      </w:r>
      <w:r>
        <w:rPr>
          <w:rFonts w:ascii="Times New Roman" w:hAnsi="Times New Roman"/>
          <w:b w:val="false"/>
          <w:i w:val="false"/>
          <w:color w:val="000000"/>
          <w:sz w:val="22"/>
        </w:rPr>
        <w:t>  </w:t>
      </w:r>
      <w:r>
        <w:rPr>
          <w:rFonts w:ascii="Times New Roman" w:hAnsi="Times New Roman"/>
          <w:b w:val="false"/>
          <w:i w:val="false"/>
          <w:color w:val="000000"/>
          <w:sz w:val="22"/>
        </w:rPr>
        <w:t>21 CFR Part 163, cacao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w:t>
      </w:r>
      <w:r>
        <w:rPr>
          <w:rFonts w:ascii="Times New Roman" w:hAnsi="Times New Roman"/>
          <w:b w:val="false"/>
          <w:i w:val="false"/>
          <w:color w:val="000000"/>
          <w:sz w:val="22"/>
        </w:rPr>
        <w:t>  </w:t>
      </w:r>
      <w:r>
        <w:rPr>
          <w:rFonts w:ascii="Times New Roman" w:hAnsi="Times New Roman"/>
          <w:b w:val="false"/>
          <w:i w:val="false"/>
          <w:color w:val="000000"/>
          <w:sz w:val="22"/>
        </w:rPr>
        <w:t>21 CFR Part 164, tree nut and peanut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w:t>
      </w:r>
      <w:r>
        <w:rPr>
          <w:rFonts w:ascii="Times New Roman" w:hAnsi="Times New Roman"/>
          <w:b w:val="false"/>
          <w:i w:val="false"/>
          <w:color w:val="000000"/>
          <w:sz w:val="22"/>
        </w:rPr>
        <w:t>  </w:t>
      </w:r>
      <w:r>
        <w:rPr>
          <w:rFonts w:ascii="Times New Roman" w:hAnsi="Times New Roman"/>
          <w:b w:val="false"/>
          <w:i w:val="false"/>
          <w:color w:val="000000"/>
          <w:sz w:val="22"/>
        </w:rPr>
        <w:t>21 CFR Part 165, beverages.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w:t>
      </w:r>
      <w:r>
        <w:rPr>
          <w:rFonts w:ascii="Times New Roman" w:hAnsi="Times New Roman"/>
          <w:b w:val="false"/>
          <w:i w:val="false"/>
          <w:color w:val="000000"/>
          <w:sz w:val="22"/>
        </w:rPr>
        <w:t>  </w:t>
      </w:r>
      <w:r>
        <w:rPr>
          <w:rFonts w:ascii="Times New Roman" w:hAnsi="Times New Roman"/>
          <w:b w:val="false"/>
          <w:i w:val="false"/>
          <w:color w:val="000000"/>
          <w:sz w:val="22"/>
        </w:rPr>
        <w:t>21 CFR Part 166, margarine.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w:t>
      </w:r>
      <w:r>
        <w:rPr>
          <w:rFonts w:ascii="Times New Roman" w:hAnsi="Times New Roman"/>
          <w:b w:val="false"/>
          <w:i w:val="false"/>
          <w:color w:val="000000"/>
          <w:sz w:val="22"/>
        </w:rPr>
        <w:t>  </w:t>
      </w:r>
      <w:r>
        <w:rPr>
          <w:rFonts w:ascii="Times New Roman" w:hAnsi="Times New Roman"/>
          <w:b w:val="false"/>
          <w:i w:val="false"/>
          <w:color w:val="000000"/>
          <w:sz w:val="22"/>
        </w:rPr>
        <w:t>21 CFR Part 168, sweeteners and table syrups.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av.</w:t>
      </w:r>
      <w:r>
        <w:rPr>
          <w:rFonts w:ascii="Times New Roman" w:hAnsi="Times New Roman"/>
          <w:b w:val="false"/>
          <w:i w:val="false"/>
          <w:color w:val="000000"/>
          <w:sz w:val="22"/>
        </w:rPr>
        <w:t>  </w:t>
      </w:r>
      <w:r>
        <w:rPr>
          <w:rFonts w:ascii="Times New Roman" w:hAnsi="Times New Roman"/>
          <w:b w:val="false"/>
          <w:i w:val="false"/>
          <w:color w:val="000000"/>
          <w:sz w:val="22"/>
        </w:rPr>
        <w:t>21 CFR Part 169, food dressings and flavorings.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w:t>
      </w:r>
      <w:r>
        <w:rPr>
          <w:rFonts w:ascii="Times New Roman" w:hAnsi="Times New Roman"/>
          <w:b w:val="false"/>
          <w:i w:val="false"/>
          <w:color w:val="000000"/>
          <w:sz w:val="22"/>
        </w:rPr>
        <w:t>  </w:t>
      </w:r>
      <w:r>
        <w:rPr>
          <w:rFonts w:ascii="Times New Roman" w:hAnsi="Times New Roman"/>
          <w:b w:val="false"/>
          <w:i w:val="false"/>
          <w:color w:val="000000"/>
          <w:sz w:val="22"/>
        </w:rPr>
        <w:t>21 CFR Part 170, except Sections 170.6, 170.15, and 170.17, food additives.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ax.</w:t>
      </w:r>
      <w:r>
        <w:rPr>
          <w:rFonts w:ascii="Times New Roman" w:hAnsi="Times New Roman"/>
          <w:b w:val="false"/>
          <w:i w:val="false"/>
          <w:color w:val="000000"/>
          <w:sz w:val="22"/>
        </w:rPr>
        <w:t>  </w:t>
      </w:r>
      <w:r>
        <w:rPr>
          <w:rFonts w:ascii="Times New Roman" w:hAnsi="Times New Roman"/>
          <w:b w:val="false"/>
          <w:i w:val="false"/>
          <w:color w:val="000000"/>
          <w:sz w:val="22"/>
        </w:rPr>
        <w:t>21 CFR Part 172, food additives permitted for direct addition to food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ay.</w:t>
      </w:r>
      <w:r>
        <w:rPr>
          <w:rFonts w:ascii="Times New Roman" w:hAnsi="Times New Roman"/>
          <w:b w:val="false"/>
          <w:i w:val="false"/>
          <w:color w:val="000000"/>
          <w:sz w:val="22"/>
        </w:rPr>
        <w:t>  </w:t>
      </w:r>
      <w:r>
        <w:rPr>
          <w:rFonts w:ascii="Times New Roman" w:hAnsi="Times New Roman"/>
          <w:b w:val="false"/>
          <w:i w:val="false"/>
          <w:color w:val="000000"/>
          <w:sz w:val="22"/>
        </w:rPr>
        <w:t>21 CFR Part 173, secondary direct food additives permitted in food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az.</w:t>
      </w:r>
      <w:r>
        <w:rPr>
          <w:rFonts w:ascii="Times New Roman" w:hAnsi="Times New Roman"/>
          <w:b w:val="false"/>
          <w:i w:val="false"/>
          <w:color w:val="000000"/>
          <w:sz w:val="22"/>
        </w:rPr>
        <w:t>  </w:t>
      </w:r>
      <w:r>
        <w:rPr>
          <w:rFonts w:ascii="Times New Roman" w:hAnsi="Times New Roman"/>
          <w:b w:val="false"/>
          <w:i w:val="false"/>
          <w:color w:val="000000"/>
          <w:sz w:val="22"/>
        </w:rPr>
        <w:t>21 CFR Part 174, indirect food additives: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w:t>
      </w:r>
      <w:r>
        <w:rPr>
          <w:rFonts w:ascii="Times New Roman" w:hAnsi="Times New Roman"/>
          <w:b w:val="false"/>
          <w:i w:val="false"/>
          <w:color w:val="000000"/>
          <w:sz w:val="22"/>
        </w:rPr>
        <w:t>  </w:t>
      </w:r>
      <w:r>
        <w:rPr>
          <w:rFonts w:ascii="Times New Roman" w:hAnsi="Times New Roman"/>
          <w:b w:val="false"/>
          <w:i w:val="false"/>
          <w:color w:val="000000"/>
          <w:sz w:val="22"/>
        </w:rPr>
        <w:t>21 CFR Part 175, indirect food additives: adhesives and components of coatings.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21 CFR Part 176, indirect food additives: paper and paperboard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bc.</w:t>
      </w:r>
      <w:r>
        <w:rPr>
          <w:rFonts w:ascii="Times New Roman" w:hAnsi="Times New Roman"/>
          <w:b w:val="false"/>
          <w:i w:val="false"/>
          <w:color w:val="000000"/>
          <w:sz w:val="22"/>
        </w:rPr>
        <w:t>  </w:t>
      </w:r>
      <w:r>
        <w:rPr>
          <w:rFonts w:ascii="Times New Roman" w:hAnsi="Times New Roman"/>
          <w:b w:val="false"/>
          <w:i w:val="false"/>
          <w:color w:val="000000"/>
          <w:sz w:val="22"/>
        </w:rPr>
        <w:t>21 CFR Part 177, indirect food additives: polymers.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bd.</w:t>
      </w:r>
      <w:r>
        <w:rPr>
          <w:rFonts w:ascii="Times New Roman" w:hAnsi="Times New Roman"/>
          <w:b w:val="false"/>
          <w:i w:val="false"/>
          <w:color w:val="000000"/>
          <w:sz w:val="22"/>
        </w:rPr>
        <w:t>  </w:t>
      </w:r>
      <w:r>
        <w:rPr>
          <w:rFonts w:ascii="Times New Roman" w:hAnsi="Times New Roman"/>
          <w:b w:val="false"/>
          <w:i w:val="false"/>
          <w:color w:val="000000"/>
          <w:sz w:val="22"/>
        </w:rPr>
        <w:t>21 CFR Part 178, indirect food additives: adjuvants, production aids, and sanitizers.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w:t>
      </w:r>
      <w:r>
        <w:rPr>
          <w:rFonts w:ascii="Times New Roman" w:hAnsi="Times New Roman"/>
          <w:b w:val="false"/>
          <w:i w:val="false"/>
          <w:color w:val="000000"/>
          <w:sz w:val="22"/>
        </w:rPr>
        <w:t>  </w:t>
      </w:r>
      <w:r>
        <w:rPr>
          <w:rFonts w:ascii="Times New Roman" w:hAnsi="Times New Roman"/>
          <w:b w:val="false"/>
          <w:i w:val="false"/>
          <w:color w:val="000000"/>
          <w:sz w:val="22"/>
        </w:rPr>
        <w:t>21 CFR Part 180, food additives permitted in food or in contact with food on an interim basis pending additional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bf.</w:t>
      </w:r>
      <w:r>
        <w:rPr>
          <w:rFonts w:ascii="Times New Roman" w:hAnsi="Times New Roman"/>
          <w:b w:val="false"/>
          <w:i w:val="false"/>
          <w:color w:val="000000"/>
          <w:sz w:val="22"/>
        </w:rPr>
        <w:t>  </w:t>
      </w:r>
      <w:r>
        <w:rPr>
          <w:rFonts w:ascii="Times New Roman" w:hAnsi="Times New Roman"/>
          <w:b w:val="false"/>
          <w:i w:val="false"/>
          <w:color w:val="000000"/>
          <w:sz w:val="22"/>
        </w:rPr>
        <w:t>21 CFR Part 181, prior-sanctioned food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bg.</w:t>
      </w:r>
      <w:r>
        <w:rPr>
          <w:rFonts w:ascii="Times New Roman" w:hAnsi="Times New Roman"/>
          <w:b w:val="false"/>
          <w:i w:val="false"/>
          <w:color w:val="000000"/>
          <w:sz w:val="22"/>
        </w:rPr>
        <w:t>  </w:t>
      </w:r>
      <w:r>
        <w:rPr>
          <w:rFonts w:ascii="Times New Roman" w:hAnsi="Times New Roman"/>
          <w:b w:val="false"/>
          <w:i w:val="false"/>
          <w:color w:val="000000"/>
          <w:sz w:val="22"/>
        </w:rPr>
        <w:t>21 CFR Part 182, substances generally recognized as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bh.</w:t>
      </w:r>
      <w:r>
        <w:rPr>
          <w:rFonts w:ascii="Times New Roman" w:hAnsi="Times New Roman"/>
          <w:b w:val="false"/>
          <w:i w:val="false"/>
          <w:color w:val="000000"/>
          <w:sz w:val="22"/>
        </w:rPr>
        <w:t>  </w:t>
      </w:r>
      <w:r>
        <w:rPr>
          <w:rFonts w:ascii="Times New Roman" w:hAnsi="Times New Roman"/>
          <w:b w:val="false"/>
          <w:i w:val="false"/>
          <w:color w:val="000000"/>
          <w:sz w:val="22"/>
        </w:rPr>
        <w:t>21 CFR Part 184, direct food substances affirmed as generally recognized as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w:t>
      </w:r>
      <w:r>
        <w:rPr>
          <w:rFonts w:ascii="Times New Roman" w:hAnsi="Times New Roman"/>
          <w:b w:val="false"/>
          <w:i w:val="false"/>
          <w:color w:val="000000"/>
          <w:sz w:val="22"/>
        </w:rPr>
        <w:t>  </w:t>
      </w:r>
      <w:r>
        <w:rPr>
          <w:rFonts w:ascii="Times New Roman" w:hAnsi="Times New Roman"/>
          <w:b w:val="false"/>
          <w:i w:val="false"/>
          <w:color w:val="000000"/>
          <w:sz w:val="22"/>
        </w:rPr>
        <w:t>21 CFR Part 186, indirect food substances affirmed as generally recognized as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bj.</w:t>
      </w:r>
      <w:r>
        <w:rPr>
          <w:rFonts w:ascii="Times New Roman" w:hAnsi="Times New Roman"/>
          <w:b w:val="false"/>
          <w:i w:val="false"/>
          <w:color w:val="000000"/>
          <w:sz w:val="22"/>
        </w:rPr>
        <w:t>  </w:t>
      </w:r>
      <w:r>
        <w:rPr>
          <w:rFonts w:ascii="Times New Roman" w:hAnsi="Times New Roman"/>
          <w:b w:val="false"/>
          <w:i w:val="false"/>
          <w:color w:val="000000"/>
          <w:sz w:val="22"/>
        </w:rPr>
        <w:t>21 CFR Part 189, substances prohibited from use in human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bk.</w:t>
      </w:r>
      <w:r>
        <w:rPr>
          <w:rFonts w:ascii="Times New Roman" w:hAnsi="Times New Roman"/>
          <w:b w:val="false"/>
          <w:i w:val="false"/>
          <w:color w:val="000000"/>
          <w:sz w:val="22"/>
        </w:rPr>
        <w:t>  </w:t>
      </w:r>
      <w:r>
        <w:rPr>
          <w:rFonts w:ascii="Times New Roman" w:hAnsi="Times New Roman"/>
          <w:b w:val="false"/>
          <w:i w:val="false"/>
          <w:color w:val="000000"/>
          <w:sz w:val="22"/>
        </w:rPr>
        <w:t>21 CFR Part 190, dietary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31.2(9)</w:t>
      </w:r>
      <w:r>
        <w:rPr>
          <w:rFonts w:ascii="Times New Roman" w:hAnsi="Times New Roman"/>
          <w:b w:val="false"/>
          <w:i w:val="false"/>
          <w:color w:val="000000"/>
          <w:sz w:val="22"/>
        </w:rPr>
        <w:t> </w:t>
      </w:r>
      <w:r>
        <w:rPr>
          <w:rFonts w:ascii="Times New Roman" w:hAnsi="Times New Roman"/>
          <w:b w:val="false"/>
          <w:i/>
          <w:color w:val="000000"/>
          <w:sz w:val="22"/>
        </w:rPr>
        <w:t xml:space="preserve">Egg products processing plants. </w:t>
      </w:r>
      <w:r>
        <w:rPr>
          <w:rFonts w:ascii="Times New Roman" w:hAnsi="Times New Roman"/>
          <w:b w:val="false"/>
          <w:i w:val="false"/>
          <w:color w:val="000000"/>
          <w:sz w:val="22"/>
        </w:rPr>
        <w:t xml:space="preserve">The department will use the good manufacturing practices adopted in paragraph </w:t>
      </w:r>
      <w:hyperlink r:id="rId16">
        <w:r>
          <w:rPr>
            <w:rStyle w:val="Hyperlink"/>
            <w:rFonts w:ascii="Times New Roman" w:hAnsi="Times New Roman"/>
            <w:b w:val="false"/>
            <w:i w:val="false"/>
            <w:color w:val="000000"/>
            <w:sz w:val="22"/>
          </w:rPr>
          <w:t>31.2(8)</w:t>
        </w:r>
        <w:r>
          <w:rPr>
            <w:rFonts w:ascii="Times New Roman" w:hAnsi="Times New Roman"/>
            <w:b w:val="false"/>
            <w:i/>
            <w:color w:val="000000"/>
            <w:sz w:val="22"/>
          </w:rPr>
          <w:t>“b,”</w:t>
        </w:r>
      </w:hyperlink>
      <w:r>
        <w:rPr>
          <w:rFonts w:ascii="Times New Roman" w:hAnsi="Times New Roman"/>
          <w:b w:val="false"/>
          <w:i w:val="false"/>
          <w:color w:val="000000"/>
          <w:sz w:val="22"/>
        </w:rPr>
        <w:t xml:space="preserve"> unless such practices are inconsistent with standards set by the United States Department of Agriculture, Food Safety and Inspection Service, in 9 CFR Parts 590-592. If the standards are inconsistent, the standards adopted in 9 CFR Parts 590-592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31.2(10)</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All references to federal statutes and regulations in this rule are to those versions in effect on March 11,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481—31.3</w:t>
      </w:r>
      <w:r>
        <w:rPr>
          <w:rFonts w:ascii="Times New Roman" w:hAnsi="Times New Roman"/>
          <w:b/>
          <w:i w:val="false"/>
          <w:color w:val="000000"/>
          <w:sz w:val="22"/>
        </w:rPr>
        <w:t xml:space="preserve">(137F) </w:t>
      </w:r>
      <w:r>
        <w:rPr>
          <w:rFonts w:ascii="Times New Roman" w:hAnsi="Times New Roman"/>
          <w:b/>
          <w:i w:val="false"/>
          <w:color w:val="000000"/>
          <w:sz w:val="22"/>
        </w:rPr>
        <w:t xml:space="preserve">Adulterated food and disposal. </w:t>
      </w:r>
      <w:r>
        <w:rPr>
          <w:rFonts w:ascii="Times New Roman" w:hAnsi="Times New Roman"/>
          <w:b w:val="false"/>
          <w:i w:val="false"/>
          <w:color w:val="000000"/>
          <w:sz w:val="22"/>
        </w:rPr>
        <w:t>No one may produce, distribute, offer for sale or sell adulterated food. “Adulterated” is defined in the federal Food, Drug, and Cosmetic Act, Section 402, as amended to March 11, 2026. Adulterated food shall be disposed of in a reasonable manner as determined by the department. The destruction of adulterated food may be watched by a person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481—31.4</w:t>
      </w:r>
      <w:r>
        <w:rPr>
          <w:rFonts w:ascii="Times New Roman" w:hAnsi="Times New Roman"/>
          <w:b/>
          <w:i w:val="false"/>
          <w:color w:val="000000"/>
          <w:sz w:val="22"/>
        </w:rPr>
        <w:t xml:space="preserve">(137F) </w:t>
      </w:r>
      <w:r>
        <w:rPr>
          <w:rFonts w:ascii="Times New Roman" w:hAnsi="Times New Roman"/>
          <w:b/>
          <w:i w:val="false"/>
          <w:color w:val="000000"/>
          <w:sz w:val="22"/>
        </w:rPr>
        <w:t xml:space="preserve">False label or defacement. </w:t>
      </w:r>
      <w:r>
        <w:rPr>
          <w:rFonts w:ascii="Times New Roman" w:hAnsi="Times New Roman"/>
          <w:b w:val="false"/>
          <w:i w:val="false"/>
          <w:color w:val="000000"/>
          <w:sz w:val="22"/>
        </w:rPr>
        <w:t xml:space="preserve">Labels required by Iowa Code chapter </w:t>
      </w:r>
      <w:hyperlink r:id="rId1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and this chapter shall be legibly printed and not be deceptive as to the true nature of the article or place of production.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481—31.5</w:t>
      </w:r>
      <w:r>
        <w:rPr>
          <w:rFonts w:ascii="Times New Roman" w:hAnsi="Times New Roman"/>
          <w:b/>
          <w:i w:val="false"/>
          <w:color w:val="000000"/>
          <w:sz w:val="22"/>
        </w:rPr>
        <w:t xml:space="preserve">(137F) </w:t>
      </w:r>
      <w:r>
        <w:rPr>
          <w:rFonts w:ascii="Times New Roman" w:hAnsi="Times New Roman"/>
          <w:b/>
          <w:i w:val="false"/>
          <w:color w:val="000000"/>
          <w:sz w:val="22"/>
        </w:rPr>
        <w:t xml:space="preserve">Temporary food establishments and farmers market time/temperature control for safety food licensees. </w:t>
      </w:r>
      <w:r>
        <w:rPr>
          <w:rFonts w:ascii="Times New Roman" w:hAnsi="Times New Roman"/>
          <w:b w:val="false"/>
          <w:i w:val="false"/>
          <w:color w:val="000000"/>
          <w:sz w:val="22"/>
        </w:rPr>
        <w:t xml:space="preserve">While the retail food code adopted in rule </w:t>
      </w:r>
      <w:hyperlink r:id="rId18">
        <w:r>
          <w:rPr>
            <w:rStyle w:val="Hyperlink"/>
            <w:rFonts w:ascii="Times New Roman" w:hAnsi="Times New Roman"/>
            <w:b w:val="false"/>
            <w:i w:val="false"/>
            <w:color w:val="000000"/>
            <w:sz w:val="22"/>
          </w:rPr>
          <w:t>481—31.1</w:t>
        </w:r>
      </w:hyperlink>
      <w:r>
        <w:rPr>
          <w:rFonts w:ascii="Times New Roman" w:hAnsi="Times New Roman"/>
          <w:b w:val="false"/>
          <w:i w:val="false"/>
          <w:color w:val="000000"/>
          <w:sz w:val="22"/>
        </w:rPr>
        <w:t>(137F) applies to temporary food establishments, the following subrules provide a simplified version of requirements for temporary food establishments. If the two rules are inconsistent, the standards in this rule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For the purposes of this rule, employees include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will keep their hands and exposed portions of their arms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will have clean garments and aprons and effective hair restraints. Smoking, eating or drinking in food booths is not allowed. All nonworking, unauthorized persons are to be kept out of the food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employees will be under the direction of the person in charge, who will ensure that the workers are effectively cleaning their hands; that time/temperature control for safety food is adequately cooked, held or cooled; and that all multiuse equipment or utensils are adequately washed, rinsed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Employees will not work at a temporary food establishment or farmers market time/temperature control for safety food establishment if they have open cuts, sores or communicable diseases. The person in charge will take appropriate action to ensure that employees and volunteers who have a disease or medical condition transmissible by food are excluded from the food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employee will sign a logbook with the employee’s name, address, and telephone number or email address and the date and hours worked. The logbook will be maintained for 30 days by the person in charge and made available to the department upon request.</w:t>
      </w:r>
    </w:p>
    <w:p>
      <w:pPr>
        <w:spacing w:before="0" w:after="0"/>
        <w:ind w:left="120"/>
        <w:jc w:val="both"/>
      </w:pP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Food handling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Dry storage. </w:t>
      </w:r>
      <w:r>
        <w:rPr>
          <w:rFonts w:ascii="Times New Roman" w:hAnsi="Times New Roman"/>
          <w:b w:val="false"/>
          <w:i w:val="false"/>
          <w:color w:val="000000"/>
          <w:sz w:val="22"/>
        </w:rPr>
        <w:t>All food, equipment, utensils and single-service items will be stored off the ground and above the floor on pallets, tables or shelving.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Cold storage. </w:t>
      </w:r>
      <w:r>
        <w:rPr>
          <w:rFonts w:ascii="Times New Roman" w:hAnsi="Times New Roman"/>
          <w:b w:val="false"/>
          <w:i w:val="false"/>
          <w:color w:val="000000"/>
          <w:sz w:val="22"/>
        </w:rPr>
        <w:t>Refrigeration units will be provided to keep time/temperature control for safety foods at 41°F or below. The inspector may approve an effectively insulated, hard-sided container with sufficient coolant for storage of time/temperature control for safety food at events of short duration if the container maintains food temperatures at 41°F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Hot storage. </w:t>
      </w:r>
      <w:r>
        <w:rPr>
          <w:rFonts w:ascii="Times New Roman" w:hAnsi="Times New Roman"/>
          <w:b w:val="false"/>
          <w:i w:val="false"/>
          <w:color w:val="000000"/>
          <w:sz w:val="22"/>
        </w:rPr>
        <w:t>Hot food storage units will be used to keep time/temperature control for safety food at 135°F or above. Electrical equipment is required for hot holding, unless the use of propane stoves and grills capable of holding the temperature at 135°F or above is approved by the department. Sterno cans are allowed for hot holding if adequate temperatures can be maintained. Steam tables or other hot holding devices are not allowed to heat foods and are to be used only for hot holding after foods have been adequately cooked or heated.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Cooking temperatures. </w:t>
      </w:r>
      <w:r>
        <w:rPr>
          <w:rFonts w:ascii="Times New Roman" w:hAnsi="Times New Roman"/>
          <w:b w:val="false"/>
          <w:i w:val="false"/>
          <w:color w:val="000000"/>
          <w:sz w:val="22"/>
        </w:rPr>
        <w:t>As specified in the following chart, the minimum cooking temperatures for food products are:</w:t>
      </w:r>
    </w:p>
    <w:tbl>
      <w:tblPr>
        <w:tblW w:w="0" w:type="auto"/>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960"/>
        <w:gridCol w:w="9984"/>
      </w:tblGrid>
      <w:tr>
        <w:trPr>
          <w:trHeight w:val="525" w:hRule="atLeast"/>
        </w:trPr>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165°F</w:t>
            </w:r>
          </w:p>
        </w:tc>
        <w:tc>
          <w:tcPr>
            <w:tcW w:w="9984" w:type="dxa"/>
            <w:tcBorders>
              <w:bottom w:val="single" w:color="000000" w:sz="8"/>
            </w:tcBorders>
            <w:tcMar>
              <w:top w:w="30" w:type="dxa"/>
              <w:left w:w="30" w:type="dxa"/>
              <w:bottom w:w="15" w:type="dxa"/>
              <w:right w:w="30" w:type="dxa"/>
            </w:tcMar>
            <w:vAlign w:val="center"/>
          </w:tcPr>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Poultry and game animals that are not commercially raised</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Products stuffed or in a stuffing that contains fish, meat, pasta, poultry or ratite</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All products cooked in a microwave oven</w:t>
            </w:r>
          </w:p>
        </w:tc>
      </w:tr>
      <w:tr>
        <w:trPr>
          <w:trHeight w:val="510" w:hRule="atLeast"/>
        </w:trPr>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155°F</w:t>
            </w:r>
          </w:p>
        </w:tc>
        <w:tc>
          <w:tcPr>
            <w:tcW w:w="9984" w:type="dxa"/>
            <w:tcBorders>
              <w:bottom w:val="single" w:color="000000" w:sz="8"/>
            </w:tcBorders>
            <w:tcMar>
              <w:top w:w="30" w:type="dxa"/>
              <w:left w:w="30" w:type="dxa"/>
              <w:bottom w:w="15" w:type="dxa"/>
              <w:right w:w="30" w:type="dxa"/>
            </w:tcMar>
            <w:vAlign w:val="center"/>
          </w:tcPr>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 xml:space="preserve">Rabbits, ratite and game meats that are commercially raised </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Ground or comminuted (such as hamburgers) meat/fish products</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Raw shell eggs not prepared for immediate consumption</w:t>
            </w:r>
          </w:p>
        </w:tc>
      </w:tr>
      <w:tr>
        <w:trPr>
          <w:trHeight w:val="375" w:hRule="atLeast"/>
        </w:trPr>
        <w:tc>
          <w:tcPr>
            <w:tcW w:w="960"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145°F</w:t>
            </w:r>
          </w:p>
        </w:tc>
        <w:tc>
          <w:tcPr>
            <w:tcW w:w="9984" w:type="dxa"/>
            <w:tcBorders/>
            <w:tcMar>
              <w:top w:w="30" w:type="dxa"/>
              <w:left w:w="30" w:type="dxa"/>
              <w:bottom w:w="15" w:type="dxa"/>
              <w:right w:w="30" w:type="dxa"/>
            </w:tcMar>
            <w:vAlign w:val="center"/>
          </w:tcPr>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Pork and raw shell eggs prepared for immediate consumption</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Fish and other meat products not requiring a 155°F or 165°F cooking temperature as listed above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Consumer advisory requirement. </w:t>
      </w:r>
      <w:r>
        <w:rPr>
          <w:rFonts w:ascii="Times New Roman" w:hAnsi="Times New Roman"/>
          <w:b w:val="false"/>
          <w:i w:val="false"/>
          <w:color w:val="000000"/>
          <w:sz w:val="22"/>
        </w:rPr>
        <w:t>If raw or undercooked animal food such as beef, eggs, fish, lamb, poultry or shellfish is offered in ready-to-eat form, the license holder (person in charge) will post the consumer advisory as required by the food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Thermometers. </w:t>
      </w:r>
      <w:r>
        <w:rPr>
          <w:rFonts w:ascii="Times New Roman" w:hAnsi="Times New Roman"/>
          <w:b w:val="false"/>
          <w:i w:val="false"/>
          <w:color w:val="000000"/>
          <w:sz w:val="22"/>
        </w:rPr>
        <w:t>Each refrigeration unit will have a numerically scaled thermometer to measure the air temperature of the unit accurately. An appropriate thermometer will be provided where necessary to check the internal temperature of both hot and cold food. Thermometers must be accurate and have a range from 0°F to 220°F.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Food display. </w:t>
      </w:r>
      <w:r>
        <w:rPr>
          <w:rFonts w:ascii="Times New Roman" w:hAnsi="Times New Roman"/>
          <w:b w:val="false"/>
          <w:i w:val="false"/>
          <w:color w:val="000000"/>
          <w:sz w:val="22"/>
        </w:rPr>
        <w:t>Foods on display will be covered. The public is not allowed to serve itself from opened containers of food or uncovered food items. Condiments such as ketchup, mustard, coffee creamer and sugar will be served in individual packets or from squeeze containers or pump bottles. Milk will be dispensed from the original container or from an approved dispenser. All fruits and vegetables will be washed before being used or sold. Food will be stored at least six inches off the ground. All cooking and serving areas will be adequately protected from contamination. Barbeque areas will be roped off or otherwise protected from the public. All food will be protected from customer handling, coughing or sneezing by wrapping, sneeze guards or other effective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w:t>
      </w:r>
      <w:r>
        <w:rPr>
          <w:rFonts w:ascii="Times New Roman" w:hAnsi="Times New Roman"/>
          <w:b w:val="false"/>
          <w:i w:val="false"/>
          <w:color w:val="000000"/>
          <w:sz w:val="22"/>
        </w:rPr>
        <w:t>Unless otherwise approved by a variance from the department, no bare-hand contact of ready-to-eat food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Approved food source. </w:t>
      </w:r>
      <w:r>
        <w:rPr>
          <w:rFonts w:ascii="Times New Roman" w:hAnsi="Times New Roman"/>
          <w:b w:val="false"/>
          <w:i w:val="false"/>
          <w:color w:val="000000"/>
          <w:sz w:val="22"/>
        </w:rPr>
        <w:t xml:space="preserve">All food supplies will come from a commercial manufacturer or an approved source. The use of food in hermetically sealed containers that is not prepared in an approved food processing plant or home food processing establishment is prohibited. Transport vehicles used to supply food products are subject to inspection and will protect food from physical, chemical and microbial contamination. Cottage foods may be offered for sale in a temporary food establishment if the temporary food establishment is operated by the cottage food producer and the cottage food is offered for sale in a packaged form and labeled pursuant to rule </w:t>
      </w:r>
      <w:hyperlink r:id="rId19">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(10A,137F).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Leftovers. </w:t>
      </w:r>
      <w:r>
        <w:rPr>
          <w:rFonts w:ascii="Times New Roman" w:hAnsi="Times New Roman"/>
          <w:b w:val="false"/>
          <w:i w:val="false"/>
          <w:color w:val="000000"/>
          <w:sz w:val="22"/>
        </w:rPr>
        <w:t>Hot-held foods that are not used by the end of the day will be discarded.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Utensil storage and warewashing.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Single-service utensils. </w:t>
      </w:r>
      <w:r>
        <w:rPr>
          <w:rFonts w:ascii="Times New Roman" w:hAnsi="Times New Roman"/>
          <w:b w:val="false"/>
          <w:i w:val="false"/>
          <w:color w:val="000000"/>
          <w:sz w:val="22"/>
        </w:rPr>
        <w:t>The use of single-service plates, cups and tableware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Dishwashing. </w:t>
      </w:r>
      <w:r>
        <w:rPr>
          <w:rFonts w:ascii="Times New Roman" w:hAnsi="Times New Roman"/>
          <w:b w:val="false"/>
          <w:i w:val="false"/>
          <w:color w:val="000000"/>
          <w:sz w:val="22"/>
        </w:rPr>
        <w:t>An adequate means to heat the water and a minimum of three basins large enough for complete immersion of the utensils are required to wash, rinse and sanitize utensils or food-contact equipment. Alternative dishwashing methods may be used if approved in advance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Sanitizers. </w:t>
      </w:r>
      <w:r>
        <w:rPr>
          <w:rFonts w:ascii="Times New Roman" w:hAnsi="Times New Roman"/>
          <w:b w:val="false"/>
          <w:i w:val="false"/>
          <w:color w:val="000000"/>
          <w:sz w:val="22"/>
        </w:rPr>
        <w:t>Chlorine bleach or another approved sanitizer will be provided for warewashing sanitization and wiping cloths. An appropriate test kit will be provided to check the concentration of the sanitizer used. The person in charge will demonstrate knowledge in the determination of the correct concentration of sanitizer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Wiping cloths. </w:t>
      </w:r>
      <w:r>
        <w:rPr>
          <w:rFonts w:ascii="Times New Roman" w:hAnsi="Times New Roman"/>
          <w:b w:val="false"/>
          <w:i w:val="false"/>
          <w:color w:val="000000"/>
          <w:sz w:val="22"/>
        </w:rPr>
        <w:t>Wiping cloths will be stored in a clean, 100 ppm chlorine sanitizing solution or equivalent. Sanitizing solution will be changed as needed to maintain the solution in a clean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An adequate supply of clean water will be provided from an approved source. Water storage units and hoses will be food grade and approved for use in storage of water. If not permanently attached, hoses used to convey drinking water will be clearly and indelibly identified as to their use. Water supply systems will be protected against backflow or contamination of the water supply. Backflow prevention devices, if required, will be maintained and adequate for their intended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will be disposed of in an approved wastewater disposal system sized, constructed, maintained and operated according to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color w:val="000000"/>
          <w:sz w:val="22"/>
        </w:rPr>
        <w:t xml:space="preserve">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Hand-washing container. </w:t>
      </w:r>
      <w:r>
        <w:rPr>
          <w:rFonts w:ascii="Times New Roman" w:hAnsi="Times New Roman"/>
          <w:b w:val="false"/>
          <w:i w:val="false"/>
          <w:color w:val="000000"/>
          <w:sz w:val="22"/>
        </w:rPr>
        <w:t xml:space="preserve">An insulated container with at least a two-gallon capacity filled with hot water and with a spigot, basin, soap and dispensed paper towels will be provided for hand washing.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Floors, walls and ceilings. </w:t>
      </w:r>
      <w:r>
        <w:rPr>
          <w:rFonts w:ascii="Times New Roman" w:hAnsi="Times New Roman"/>
          <w:b w:val="false"/>
          <w:i w:val="false"/>
          <w:color w:val="000000"/>
          <w:sz w:val="22"/>
        </w:rPr>
        <w:t>If required, walls and ceilings will be of tight design and weather-resistant materials to protect against the elements and flying insects. If required, floors will be constructed of tight wood, asphalt, rubber or plastic matting or other cleanable material to control dust or mud.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Adequate lighting shall be provided. Lights above exposed food preparation areas shall be shatter-resistant or shielded.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surfaces. </w:t>
      </w:r>
      <w:r>
        <w:rPr>
          <w:rFonts w:ascii="Times New Roman" w:hAnsi="Times New Roman"/>
          <w:b w:val="false"/>
          <w:i w:val="false"/>
          <w:color w:val="000000"/>
          <w:sz w:val="22"/>
        </w:rPr>
        <w:t>All food preparation or food contact surfaces shall be of a safe design, smooth, easily cleanable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Garbage containers. </w:t>
      </w:r>
      <w:r>
        <w:rPr>
          <w:rFonts w:ascii="Times New Roman" w:hAnsi="Times New Roman"/>
          <w:b w:val="false"/>
          <w:i w:val="false"/>
          <w:color w:val="000000"/>
          <w:sz w:val="22"/>
        </w:rPr>
        <w:t>An adequate number of cleanable containers with tight-fitting covers shall be provided both inside and outside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Toilet rooms. </w:t>
      </w:r>
      <w:r>
        <w:rPr>
          <w:rFonts w:ascii="Times New Roman" w:hAnsi="Times New Roman"/>
          <w:b w:val="false"/>
          <w:i w:val="false"/>
          <w:color w:val="000000"/>
          <w:sz w:val="22"/>
        </w:rPr>
        <w:t>An adequate number of approved toilet and hand-washing facilities shall be provided at each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Clothing. </w:t>
      </w:r>
      <w:r>
        <w:rPr>
          <w:rFonts w:ascii="Times New Roman" w:hAnsi="Times New Roman"/>
          <w:b w:val="false"/>
          <w:i w:val="false"/>
          <w:color w:val="000000"/>
          <w:sz w:val="22"/>
        </w:rPr>
        <w:t>Personal clothing and belongings shall be stored at a designated place in the establishment, adequately separated from food preparation, food service and dishwashing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10/13/78, Notice 8/23/78—published 11/1/78, effective 12/7/78]</w:t>
      </w:r>
    </w:p>
    <w:p>
      <w:pPr>
        <w:spacing w:before="0" w:after="0"/>
        <w:ind w:left="120"/>
        <w:jc w:val="center"/>
      </w:pPr>
      <w:r>
        <w:rPr>
          <w:rFonts w:ascii="Times New Roman" w:hAnsi="Times New Roman"/>
          <w:b w:val="false"/>
          <w:i w:val="false"/>
          <w:color w:val="000000"/>
          <w:sz w:val="21"/>
        </w:rPr>
        <w:t>[Filed 4/23/82, Notice 3/17/82—published 5/12/82, effective 6/16/82]</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9/21/84, Notice 8/15/84—published 10/10/84, effective 11/14/84]</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2/20/87, Notice 1/14/87—published 3/11/87, effective 4/15/87]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1/8/88, Notice 12/2/87—published 1/27/88, effective 3/2/88]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1/22/88, Notice 12/16/87—published 2/10/88, effective 3/16/88]</w:t>
      </w:r>
    </w:p>
    <w:p>
      <w:pPr>
        <w:spacing w:before="0" w:after="0"/>
        <w:ind w:left="120"/>
        <w:jc w:val="center"/>
      </w:pPr>
      <w:r>
        <w:rPr>
          <w:rFonts w:ascii="Times New Roman" w:hAnsi="Times New Roman"/>
          <w:b w:val="false"/>
          <w:i w:val="false"/>
          <w:color w:val="000000"/>
          <w:sz w:val="21"/>
        </w:rPr>
        <w:t>[Filed 3/17/88, Notice 2/10/88—published 4/6/88, effective 5/11/88]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10/27/89, Notice 8/23/89—published 11/15/89, effective 12/20/89]</w:t>
      </w:r>
    </w:p>
    <w:p>
      <w:pPr>
        <w:spacing w:before="0" w:after="0"/>
        <w:ind w:left="120"/>
        <w:jc w:val="center"/>
      </w:pPr>
      <w:r>
        <w:rPr>
          <w:rFonts w:ascii="Times New Roman" w:hAnsi="Times New Roman"/>
          <w:b w:val="false"/>
          <w:i w:val="false"/>
          <w:color w:val="000000"/>
          <w:sz w:val="21"/>
        </w:rPr>
        <w:t>[Filed 12/20/90, Notice 10/31/90—published 1/9/91, effective 2/13/91]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9/23/91, Notice 8/7/91—published 10/16/91, effective 11/20/91]</w:t>
      </w:r>
    </w:p>
    <w:p>
      <w:pPr>
        <w:spacing w:before="0" w:after="0"/>
        <w:ind w:left="120"/>
        <w:jc w:val="center"/>
      </w:pPr>
      <w:r>
        <w:rPr>
          <w:rFonts w:ascii="Times New Roman" w:hAnsi="Times New Roman"/>
          <w:b w:val="false"/>
          <w:i w:val="false"/>
          <w:color w:val="000000"/>
          <w:sz w:val="21"/>
        </w:rPr>
        <w:t>[Filed 4/22/92, Notice 3/18/92—published 5/13/92, effective 7/1/92]</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11/3/94, Notice 9/14/94—published 11/23/94, effective 12/28/94]</w:t>
      </w:r>
    </w:p>
    <w:p>
      <w:pPr>
        <w:spacing w:before="0" w:after="0"/>
        <w:ind w:left="120"/>
        <w:jc w:val="center"/>
      </w:pPr>
      <w:r>
        <w:rPr>
          <w:rFonts w:ascii="Times New Roman" w:hAnsi="Times New Roman"/>
          <w:b w:val="false"/>
          <w:i w:val="false"/>
          <w:color w:val="000000"/>
          <w:sz w:val="21"/>
        </w:rPr>
        <w:t>[Filed 10/16/97, Notice 8/27/97—published 11/5/97, effective 12/10/97]</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9/1/99, Notice 7/28/99—published 9/22/99, effective 10/27/99]</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9/26/01, Notice 8/8/01—published 10/17/01, effective 11/21/01]</w:t>
      </w:r>
    </w:p>
    <w:p>
      <w:pPr>
        <w:spacing w:before="0" w:after="0"/>
        <w:ind w:left="120"/>
        <w:jc w:val="center"/>
      </w:pPr>
      <w:r>
        <w:rPr>
          <w:rFonts w:ascii="Times New Roman" w:hAnsi="Times New Roman"/>
          <w:b w:val="false"/>
          <w:i w:val="false"/>
          <w:color w:val="000000"/>
          <w:sz w:val="21"/>
        </w:rPr>
        <w:t>[Filed emergency 6/7/02—published 6/26/02, effective 6/7/02]</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8696B, IAB 4/21/10, effective 4/1/10]</w:t>
      </w:r>
    </w:p>
    <w:p>
      <w:pPr>
        <w:spacing w:before="0" w:after="0"/>
        <w:ind w:left="120"/>
        <w:jc w:val="center"/>
      </w:pPr>
      <w:r>
        <w:rPr>
          <w:rFonts w:ascii="Times New Roman" w:hAnsi="Times New Roman"/>
          <w:b w:val="false"/>
          <w:i w:val="false"/>
          <w:color w:val="000000"/>
          <w:sz w:val="21"/>
        </w:rPr>
        <w:t>[Filed ARC 8856B</w:t>
      </w:r>
      <w:r>
        <w:rPr>
          <w:rFonts w:ascii="Times New Roman" w:hAnsi="Times New Roman"/>
          <w:b w:val="false"/>
          <w:i w:val="false"/>
          <w:color w:val="000000"/>
          <w:sz w:val="21"/>
        </w:rPr>
        <w:t xml:space="preserve"> (Notice ARC 8697B, IAB 4/21/10)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1191C</w:t>
      </w:r>
      <w:r>
        <w:rPr>
          <w:rFonts w:ascii="Times New Roman" w:hAnsi="Times New Roman"/>
          <w:b w:val="false"/>
          <w:i w:val="false"/>
          <w:color w:val="000000"/>
          <w:sz w:val="21"/>
        </w:rPr>
        <w:t xml:space="preserve"> (Notice ARC 1025C, IAB 9/18/13)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1928C</w:t>
      </w:r>
      <w:r>
        <w:rPr>
          <w:rFonts w:ascii="Times New Roman" w:hAnsi="Times New Roman"/>
          <w:b w:val="false"/>
          <w:i w:val="false"/>
          <w:color w:val="000000"/>
          <w:sz w:val="21"/>
        </w:rPr>
        <w:t xml:space="preserve"> (Notice ARC 1861C,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2257C</w:t>
      </w:r>
      <w:r>
        <w:rPr>
          <w:rFonts w:ascii="Times New Roman" w:hAnsi="Times New Roman"/>
          <w:b w:val="false"/>
          <w:i w:val="false"/>
          <w:color w:val="000000"/>
          <w:sz w:val="21"/>
        </w:rPr>
        <w:t xml:space="preserve"> (Notice ARC 2171C, IAB 9/30/15)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3188C</w:t>
      </w:r>
      <w:r>
        <w:rPr>
          <w:rFonts w:ascii="Times New Roman" w:hAnsi="Times New Roman"/>
          <w:b w:val="false"/>
          <w:i w:val="false"/>
          <w:color w:val="000000"/>
          <w:sz w:val="21"/>
        </w:rPr>
        <w:t xml:space="preserve"> (Notice ARC 3053C, IAB 5/10/17)</w:t>
      </w:r>
      <w:r>
        <w:rPr>
          <w:rFonts w:ascii="Times New Roman" w:hAnsi="Times New Roman"/>
          <w:b w:val="false"/>
          <w:i w:val="false"/>
          <w:color w:val="000000"/>
          <w:sz w:val="21"/>
        </w:rPr>
        <w:t>, IAB 7/5/17, effective 8/9/17]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4140C</w:t>
      </w:r>
      <w:r>
        <w:rPr>
          <w:rFonts w:ascii="Times New Roman" w:hAnsi="Times New Roman"/>
          <w:b w:val="false"/>
          <w:i w:val="false"/>
          <w:color w:val="000000"/>
          <w:sz w:val="21"/>
        </w:rPr>
        <w:t xml:space="preserve"> (Notice ARC 4027C, IAB 9/26/18)</w:t>
      </w:r>
      <w:r>
        <w:rPr>
          <w:rFonts w:ascii="Times New Roman" w:hAnsi="Times New Roman"/>
          <w:b w:val="false"/>
          <w:i w:val="false"/>
          <w:color w:val="000000"/>
          <w:sz w:val="21"/>
        </w:rPr>
        <w:t>, IAB 11/21/18, effective 1/1/19]</w:t>
      </w:r>
    </w:p>
    <w:p>
      <w:pPr>
        <w:spacing w:before="0" w:after="0"/>
        <w:ind w:left="120"/>
        <w:jc w:val="center"/>
      </w:pPr>
      <w:r>
        <w:rPr>
          <w:rFonts w:ascii="Times New Roman" w:hAnsi="Times New Roman"/>
          <w:b w:val="false"/>
          <w:i w:val="false"/>
          <w:color w:val="000000"/>
          <w:sz w:val="21"/>
        </w:rPr>
        <w:t>[Filed ARC 4731C</w:t>
      </w:r>
      <w:r>
        <w:rPr>
          <w:rFonts w:ascii="Times New Roman" w:hAnsi="Times New Roman"/>
          <w:b w:val="false"/>
          <w:i w:val="false"/>
          <w:color w:val="000000"/>
          <w:sz w:val="21"/>
        </w:rPr>
        <w:t xml:space="preserve"> (Notice ARC 4589C,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5119C</w:t>
      </w:r>
      <w:r>
        <w:rPr>
          <w:rFonts w:ascii="Times New Roman" w:hAnsi="Times New Roman"/>
          <w:b w:val="false"/>
          <w:i w:val="false"/>
          <w:color w:val="000000"/>
          <w:sz w:val="21"/>
        </w:rPr>
        <w:t xml:space="preserve"> (Notice ARC 4923C, IAB 2/12/20)</w:t>
      </w:r>
      <w:r>
        <w:rPr>
          <w:rFonts w:ascii="Times New Roman" w:hAnsi="Times New Roman"/>
          <w:b w:val="false"/>
          <w:i w:val="false"/>
          <w:color w:val="000000"/>
          <w:sz w:val="21"/>
        </w:rPr>
        <w:t>, IAB 7/29/20, effective 9/2/20]</w:t>
      </w:r>
    </w:p>
    <w:p>
      <w:pPr>
        <w:spacing w:before="0" w:after="0"/>
        <w:ind w:left="120"/>
        <w:jc w:val="center"/>
      </w:pPr>
      <w:r>
        <w:rPr>
          <w:rFonts w:ascii="Times New Roman" w:hAnsi="Times New Roman"/>
          <w:b w:val="false"/>
          <w:i w:val="false"/>
          <w:color w:val="000000"/>
          <w:sz w:val="21"/>
        </w:rPr>
        <w:t>[Filed ARC 5353C</w:t>
      </w:r>
      <w:r>
        <w:rPr>
          <w:rFonts w:ascii="Times New Roman" w:hAnsi="Times New Roman"/>
          <w:b w:val="false"/>
          <w:i w:val="false"/>
          <w:color w:val="000000"/>
          <w:sz w:val="21"/>
        </w:rPr>
        <w:t xml:space="preserve"> (Notice ARC 5262C, IAB 11/4/20)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5843C</w:t>
      </w:r>
      <w:r>
        <w:rPr>
          <w:rFonts w:ascii="Times New Roman" w:hAnsi="Times New Roman"/>
          <w:b w:val="false"/>
          <w:i w:val="false"/>
          <w:color w:val="000000"/>
          <w:sz w:val="21"/>
        </w:rPr>
        <w:t xml:space="preserve"> (Notice ARC 5701C, IAB 6/16/21)</w:t>
      </w:r>
      <w:r>
        <w:rPr>
          <w:rFonts w:ascii="Times New Roman" w:hAnsi="Times New Roman"/>
          <w:b w:val="false"/>
          <w:i w:val="false"/>
          <w:color w:val="000000"/>
          <w:sz w:val="21"/>
        </w:rPr>
        <w:t>, IAB 8/11/21, effective 9/15/21]</w:t>
      </w:r>
      <w:r>
        <w:br/>
      </w:r>
      <w:r>
        <w:rPr>
          <w:rFonts w:ascii="Times New Roman" w:hAnsi="Times New Roman"/>
          <w:b w:val="false"/>
          <w:i w:val="false"/>
          <w:color w:val="000000"/>
          <w:sz w:val="21"/>
        </w:rPr>
        <w:t>[Filed ARC 5844C</w:t>
      </w:r>
      <w:r>
        <w:rPr>
          <w:rFonts w:ascii="Times New Roman" w:hAnsi="Times New Roman"/>
          <w:b w:val="false"/>
          <w:i w:val="false"/>
          <w:color w:val="000000"/>
          <w:sz w:val="21"/>
        </w:rPr>
        <w:t xml:space="preserve"> (Notice ARC 5702C, IAB 6/16/21)</w:t>
      </w:r>
      <w:r>
        <w:rPr>
          <w:rFonts w:ascii="Times New Roman" w:hAnsi="Times New Roman"/>
          <w:b w:val="false"/>
          <w:i w:val="false"/>
          <w:color w:val="000000"/>
          <w:sz w:val="21"/>
        </w:rPr>
        <w:t>, IAB 8/11/21, effective 9/15/21]</w:t>
      </w:r>
      <w:r>
        <w:br/>
      </w:r>
      <w:r>
        <w:rPr>
          <w:rFonts w:ascii="Times New Roman" w:hAnsi="Times New Roman"/>
          <w:b w:val="false"/>
          <w:i w:val="false"/>
          <w:color w:val="000000"/>
          <w:sz w:val="21"/>
        </w:rPr>
        <w:t>[Filed ARC 5845C</w:t>
      </w:r>
      <w:r>
        <w:rPr>
          <w:rFonts w:ascii="Times New Roman" w:hAnsi="Times New Roman"/>
          <w:b w:val="false"/>
          <w:i w:val="false"/>
          <w:color w:val="000000"/>
          <w:sz w:val="21"/>
        </w:rPr>
        <w:t xml:space="preserve"> (Notice ARC 5703C,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6568C</w:t>
      </w:r>
      <w:r>
        <w:rPr>
          <w:rFonts w:ascii="Times New Roman" w:hAnsi="Times New Roman"/>
          <w:b w:val="false"/>
          <w:i w:val="false"/>
          <w:color w:val="000000"/>
          <w:sz w:val="21"/>
        </w:rPr>
        <w:t xml:space="preserve"> (Notice ARC 6455C,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0059D</w:t>
      </w:r>
      <w:r>
        <w:rPr>
          <w:rFonts w:ascii="Times New Roman" w:hAnsi="Times New Roman"/>
          <w:b w:val="false"/>
          <w:i w:val="false"/>
          <w:color w:val="000000"/>
          <w:sz w:val="21"/>
        </w:rPr>
        <w:t xml:space="preserve"> (Notice ARC 9777C, IAB 12/10/25)</w:t>
      </w:r>
      <w:r>
        <w:rPr>
          <w:rFonts w:ascii="Times New Roman" w:hAnsi="Times New Roman"/>
          <w:b w:val="false"/>
          <w:i w:val="false"/>
          <w:color w:val="000000"/>
          <w:sz w:val="21"/>
        </w:rPr>
        <w:t>, IAB 2/4/26, effective 3/11/26]</w:t>
      </w:r>
    </w:p>
    <w:p>
      <w:pPr>
        <w:pBdr>
          <w:bottom w:space="2"/>
        </w:pBdr>
        <w:spacing w:before="0" w:after="0"/>
        <w:ind w:left="120"/>
        <w:jc w:val="both"/>
      </w:pPr>
      <w:r>
        <w:rPr>
          <w:rFonts w:ascii="Times New Roman" w:hAnsi="Times New Roman"/>
          <w:b w:val="false"/>
          <w:i w:val="false"/>
          <w:color w:val="000000"/>
          <w:sz w:val="22"/>
        </w:rPr>
        <w:t>Rules 30—33.1(159) to 30—33.4(159) and 30—34.1(159) to 30—34.4(159) transferred to Inspections and Appeals Department[481] and rescinded.</w:t>
      </w:r>
    </w:p>
    <w:p>
      <w:pPr>
        <w:pBdr>
          <w:bottom w:space="2"/>
        </w:pBdr>
        <w:spacing w:before="0" w:after="0"/>
        <w:ind w:left="120"/>
        <w:jc w:val="both"/>
      </w:pPr>
      <w:r>
        <w:rPr>
          <w:rFonts w:ascii="Times New Roman" w:hAnsi="Times New Roman"/>
          <w:b w:val="false"/>
          <w:i w:val="false"/>
          <w:color w:val="000000"/>
          <w:sz w:val="22"/>
        </w:rPr>
        <w:t>Rule 481—31.1(137F) published in the July 5, 2017, IAB as ARC 3188C has a January 1, 2018, effective date. For the rule in effect immediately prior to January 1, 2018, see 481—Chapter 31 as of June 21, 2017.</w:t>
      </w:r>
    </w:p>
    <w:sectPr>
      <w:footerReference r:id="rId2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1.1.pdf" Type="http://schemas.openxmlformats.org/officeDocument/2006/relationships/hyperlink" Id="rId5"/>
    <Relationship TargetMode="External" Target="https://www.legis.iowa.gov/docs/iac/rule/481.31.1.pdf" Type="http://schemas.openxmlformats.org/officeDocument/2006/relationships/hyperlink" Id="rId6"/>
    <Relationship TargetMode="External" Target="https://www.legis.iowa.gov/docs/iac/rule/481.31.1.pdf" Type="http://schemas.openxmlformats.org/officeDocument/2006/relationships/hyperlink" Id="rId7"/>
    <Relationship TargetMode="External" Target="https://www.legis.iowa.gov/docs/iac/rule/481.31.1.pdf" Type="http://schemas.openxmlformats.org/officeDocument/2006/relationships/hyperlink" Id="rId8"/>
    <Relationship TargetMode="External" Target="https://www.legis.iowa.gov/docs/iac/chapter/481.34.pdf" Type="http://schemas.openxmlformats.org/officeDocument/2006/relationships/hyperlink" Id="rId9"/>
    <Relationship TargetMode="External" Target="https://www.legis.iowa.gov/docs/ico/chapter/189A.pdf" Type="http://schemas.openxmlformats.org/officeDocument/2006/relationships/hyperlink" Id="rId10"/>
    <Relationship TargetMode="External" Target="https://www.legis.iowa.gov/docs/ico/chapter/189A.pdf" Type="http://schemas.openxmlformats.org/officeDocument/2006/relationships/hyperlink" Id="rId11"/>
    <Relationship TargetMode="External" Target="https://www.legis.iowa.gov/docs/ico/chapter/231B.1.pdf" Type="http://schemas.openxmlformats.org/officeDocument/2006/relationships/hyperlink" Id="rId12"/>
    <Relationship TargetMode="External" Target="https://www.legis.iowa.gov/docs/iac/rule/481.30.4.pdf" Type="http://schemas.openxmlformats.org/officeDocument/2006/relationships/hyperlink" Id="rId13"/>
    <Relationship TargetMode="External" Target="https://www.legis.iowa.gov/docs/ico/chapter/137F.pdf" Type="http://schemas.openxmlformats.org/officeDocument/2006/relationships/hyperlink" Id="rId14"/>
    <Relationship TargetMode="External" Target="https://www.legis.iowa.gov/docs/iac/rule/481.30.11.pdf" Type="http://schemas.openxmlformats.org/officeDocument/2006/relationships/hyperlink" Id="rId15"/>
    <Relationship TargetMode="External" Target="https://www.legis.iowa.gov/docs/iac/rule/481.31.2.pdf" Type="http://schemas.openxmlformats.org/officeDocument/2006/relationships/hyperlink" Id="rId16"/>
    <Relationship TargetMode="External" Target="https://www.legis.iowa.gov/docs/ico/chapter/137F.pdf" Type="http://schemas.openxmlformats.org/officeDocument/2006/relationships/hyperlink" Id="rId17"/>
    <Relationship TargetMode="External" Target="https://www.legis.iowa.gov/docs/iac/rule/481.31.1.pdf" Type="http://schemas.openxmlformats.org/officeDocument/2006/relationships/hyperlink" Id="rId18"/>
    <Relationship TargetMode="External" Target="https://www.legis.iowa.gov/docs/iac/rule/481.30.13.pdf" Type="http://schemas.openxmlformats.org/officeDocument/2006/relationships/hyperlink" Id="rId19"/>
    <Relationship TargetMode="External" Target="https://www.legis.iowa.gov/docs/ico/chapter/137F.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