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266</w:t>
      </w:r>
    </w:p>
    <w:p>
      <w:pPr>
        <w:spacing w:before="0" w:after="0"/>
        <w:ind w:left="120"/>
        <w:jc w:val="center"/>
      </w:pPr>
      <w:r>
        <w:rPr>
          <w:rFonts w:ascii="Times New Roman" w:hAnsi="Times New Roman"/>
          <w:b w:val="false"/>
          <w:i w:val="false"/>
          <w:color w:val="000000"/>
          <w:sz w:val="21"/>
        </w:rPr>
        <w:t>LICENSING OF FIRE PROTECTION SYSTEM TECHNICIANS</w:t>
      </w:r>
    </w:p>
    <w:p>
      <w:pPr>
        <w:spacing w:before="0" w:after="0"/>
        <w:ind w:left="120"/>
        <w:jc w:val="center"/>
      </w:pPr>
      <w:r>
        <w:rPr>
          <w:rFonts w:ascii="Times New Roman" w:hAnsi="Times New Roman"/>
          <w:b w:val="false"/>
          <w:i w:val="false"/>
          <w:color w:val="000000"/>
          <w:sz w:val="20"/>
        </w:rPr>
        <w:t>[Prior to 11/26/25, see Public Safety Department[661] Ch 276]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481—266.1</w:t>
      </w:r>
      <w:r>
        <w:rPr>
          <w:rFonts w:ascii="Times New Roman" w:hAnsi="Times New Roman"/>
          <w:b/>
          <w:i w:val="false"/>
          <w:color w:val="000000"/>
          <w:sz w:val="22"/>
        </w:rPr>
        <w:t xml:space="preserve">(100D) </w:t>
      </w:r>
      <w:r>
        <w:rPr>
          <w:rFonts w:ascii="Times New Roman" w:hAnsi="Times New Roman"/>
          <w:b/>
          <w:i w:val="false"/>
          <w:color w:val="000000"/>
          <w:sz w:val="22"/>
        </w:rPr>
        <w:t xml:space="preserve">Establishment of program. </w:t>
      </w:r>
      <w:r>
        <w:rPr>
          <w:rFonts w:ascii="Times New Roman" w:hAnsi="Times New Roman"/>
          <w:b w:val="false"/>
          <w:i w:val="false"/>
          <w:color w:val="000000"/>
          <w:sz w:val="22"/>
        </w:rPr>
        <w:t xml:space="preserve">The fire protection system technician license is established pursuant to Iowa Code chapter </w:t>
      </w:r>
      <w:hyperlink r:id="rId5">
        <w:r>
          <w:rPr>
            <w:rStyle w:val="Hyperlink"/>
            <w:rFonts w:ascii="Times New Roman" w:hAnsi="Times New Roman"/>
            <w:b w:val="false"/>
            <w:i w:val="false"/>
            <w:color w:val="000000"/>
            <w:sz w:val="22"/>
          </w:rPr>
          <w:t>100D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266.1(1)</w:t>
      </w:r>
      <w:r>
        <w:rPr>
          <w:rFonts w:ascii="Times New Roman" w:hAnsi="Times New Roman"/>
          <w:b w:val="false"/>
          <w:i w:val="false"/>
          <w:color w:val="000000"/>
          <w:sz w:val="22"/>
        </w:rPr>
        <w:t> </w:t>
      </w:r>
      <w:r>
        <w:rPr>
          <w:rFonts w:ascii="Times New Roman" w:hAnsi="Times New Roman"/>
          <w:b w:val="false"/>
          <w:i/>
          <w:color w:val="000000"/>
          <w:sz w:val="22"/>
        </w:rPr>
        <w:t xml:space="preserve">Licensing required. </w:t>
      </w:r>
      <w:r>
        <w:rPr>
          <w:rFonts w:ascii="Times New Roman" w:hAnsi="Times New Roman"/>
          <w:b w:val="false"/>
          <w:i w:val="false"/>
          <w:color w:val="000000"/>
          <w:sz w:val="22"/>
        </w:rPr>
        <w:t xml:space="preserve">A person shall not act as a fire protection system installer and maintenance worker without being currently licensed as a fire protection system technician by the department, except as provided in Iowa Code sections </w:t>
      </w:r>
      <w:hyperlink r:id="rId6">
        <w:r>
          <w:rPr>
            <w:rStyle w:val="Hyperlink"/>
            <w:rFonts w:ascii="Times New Roman" w:hAnsi="Times New Roman"/>
            <w:b w:val="false"/>
            <w:i w:val="false"/>
            <w:color w:val="000000"/>
            <w:sz w:val="22"/>
          </w:rPr>
          <w:t>100D.2(1)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100D.11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8">
        <w:r>
          <w:rPr>
            <w:rStyle w:val="Hyperlink"/>
            <w:rFonts w:ascii="Times New Roman" w:hAnsi="Times New Roman"/>
            <w:b w:val="false"/>
            <w:i w:val="false"/>
            <w:color w:val="000000"/>
            <w:sz w:val="22"/>
          </w:rPr>
          <w:t>100D.2(1)</w:t>
        </w:r>
      </w:hyperlink>
      <w:r>
        <w:rPr>
          <w:rFonts w:ascii="Times New Roman" w:hAnsi="Times New Roman"/>
          <w:b w:val="false"/>
          <w:i/>
          <w:color w:val="000000"/>
          <w:sz w:val="22"/>
        </w:rPr>
        <w:t>“a,”</w:t>
      </w:r>
      <w:r>
        <w:rPr>
          <w:rFonts w:ascii="Times New Roman" w:hAnsi="Times New Roman"/>
          <w:b w:val="false"/>
          <w:i w:val="false"/>
          <w:color w:val="000000"/>
          <w:sz w:val="22"/>
        </w:rPr>
        <w:t xml:space="preserve"> “direct supervision” means that the person supervising the person performing the work shall be on the job site while the work being supervised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9">
        <w:r>
          <w:rPr>
            <w:rStyle w:val="Hyperlink"/>
            <w:rFonts w:ascii="Times New Roman" w:hAnsi="Times New Roman"/>
            <w:b w:val="false"/>
            <w:i w:val="false"/>
            <w:color w:val="000000"/>
            <w:sz w:val="22"/>
          </w:rPr>
          <w:t>100D.2(1)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work performed that is subject to the provisions of this chapter must be within the scope of the endorsement(s) of the licensed contractor employing the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266.1(2)</w:t>
      </w: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Any person acting as a fire protection system installer and maintenance worker shall do so only in relation to systems and work covered by the endorsements on the person’s license. The license of each technician shall carry an endorsement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protection systems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protection systems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protection systems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protection systems in one- and two-family dwellings maintenance inspection,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Fire protection technician trainee.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266.1(3)</w:t>
      </w:r>
      <w:r>
        <w:rPr>
          <w:rFonts w:ascii="Times New Roman" w:hAnsi="Times New Roman"/>
          <w:b w:val="false"/>
          <w:i w:val="false"/>
          <w:color w:val="000000"/>
          <w:sz w:val="22"/>
        </w:rPr>
        <w:t> </w:t>
      </w:r>
      <w:r>
        <w:rPr>
          <w:rFonts w:ascii="Times New Roman" w:hAnsi="Times New Roman"/>
          <w:b w:val="false"/>
          <w:i/>
          <w:color w:val="000000"/>
          <w:sz w:val="22"/>
        </w:rPr>
        <w:t xml:space="preserve">Length of licensure. </w:t>
      </w:r>
      <w:r>
        <w:rPr>
          <w:rFonts w:ascii="Times New Roman" w:hAnsi="Times New Roman"/>
          <w:b w:val="false"/>
          <w:i w:val="false"/>
          <w:color w:val="000000"/>
          <w:sz w:val="22"/>
        </w:rPr>
        <w:t>Licensure shall normally be for two years and will expire on March 31 of the second year after the license has been issued. A license that is effective on a date other than April 1 will be effective on the date on which the license is issued and will expire the next March, after one year has passed from the date on which the license was issued. A technician trainee license may be renewed once and a person may work as a technician trainee for a maximum of four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481—266.2</w:t>
      </w:r>
      <w:r>
        <w:rPr>
          <w:rFonts w:ascii="Times New Roman" w:hAnsi="Times New Roman"/>
          <w:b/>
          <w:i w:val="false"/>
          <w:color w:val="000000"/>
          <w:sz w:val="22"/>
        </w:rPr>
        <w:t xml:space="preserve">(100D)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“Aerosol fire extinguishing system”</w:t>
      </w:r>
      <w:r>
        <w:rPr>
          <w:rFonts w:ascii="Times New Roman" w:hAnsi="Times New Roman"/>
          <w:b w:val="false"/>
          <w:i w:val="false"/>
          <w:color w:val="000000"/>
          <w:sz w:val="22"/>
        </w:rPr>
        <w:t> </w:t>
      </w:r>
      <w:r>
        <w:rPr>
          <w:rFonts w:ascii="Times New Roman" w:hAnsi="Times New Roman"/>
          <w:b w:val="false"/>
          <w:i w:val="false"/>
          <w:color w:val="000000"/>
          <w:sz w:val="22"/>
        </w:rPr>
        <w:t>means a system that uses a combination of microparticles and gaseous matter to flood the protected area. The particles are in a vapor state until discharged from the device. On release, a chain reaction produces solid particles and gaseous matter to suppress the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“Apprentice fire protection system installer and maintenance worker”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100D.1(1)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“Automatic fire extinguishing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100C.1(5)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“Automatic sprinkler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100C.1(6)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“Carbon dioxide extinguishing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100C.1(7)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 agent”</w:t>
      </w:r>
      <w:r>
        <w:rPr>
          <w:rFonts w:ascii="Times New Roman" w:hAnsi="Times New Roman"/>
          <w:b w:val="false"/>
          <w:i w:val="false"/>
          <w:color w:val="000000"/>
          <w:sz w:val="22"/>
        </w:rPr>
        <w:t> </w:t>
      </w:r>
      <w:r>
        <w:rPr>
          <w:rFonts w:ascii="Times New Roman" w:hAnsi="Times New Roman"/>
          <w:b w:val="false"/>
          <w:i w:val="false"/>
          <w:color w:val="000000"/>
          <w:sz w:val="22"/>
        </w:rPr>
        <w:t>means an electrically nonconducting, volatile, or gaseous fire extinguishant that does not leave a residue upon evaporation.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“Deluge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100C.1(8)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100D.1(2)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“Dry chemical”</w:t>
      </w:r>
      <w:r>
        <w:rPr>
          <w:rFonts w:ascii="Times New Roman" w:hAnsi="Times New Roman"/>
          <w:b w:val="false"/>
          <w:i w:val="false"/>
          <w:color w:val="000000"/>
          <w:sz w:val="22"/>
        </w:rPr>
        <w:t> </w:t>
      </w:r>
      <w:r>
        <w:rPr>
          <w:rFonts w:ascii="Times New Roman" w:hAnsi="Times New Roman"/>
          <w:b w:val="false"/>
          <w:i w:val="false"/>
          <w:color w:val="000000"/>
          <w:sz w:val="22"/>
        </w:rPr>
        <w:t>means a powder composed of very small particles, usually sodium bicarbonate-, potassium bicarbonate-, or ammonium phosphate-based, with added particulate material supplemented by special treatment to provide resistance to packing, resistance to moisture absorption (caking), and the proper flow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“Dry pipe sprinkler system”</w:t>
      </w:r>
      <w:r>
        <w:rPr>
          <w:rFonts w:ascii="Times New Roman" w:hAnsi="Times New Roman"/>
          <w:b w:val="false"/>
          <w:i w:val="false"/>
          <w:color w:val="000000"/>
          <w:sz w:val="22"/>
        </w:rPr>
        <w:t> </w:t>
      </w:r>
      <w:r>
        <w:rPr>
          <w:rFonts w:ascii="Times New Roman" w:hAnsi="Times New Roman"/>
          <w:b w:val="false"/>
          <w:i w:val="false"/>
          <w:color w:val="000000"/>
          <w:sz w:val="22"/>
        </w:rPr>
        <w:t>means an extinguishing system employing automatic sprinklers that are attached to a piping system containing air or nitrogen under pressure, the release of which (as from the opening of a sprinkler) permits the water pressure to open a valve known as a dry pipe valve, which allows the water to flow into the piping system and out the opened sprinklers.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 extinguishing system contractor,” “fire protection system 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100D.1(4)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 protection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100D.1(5)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 protection system installation”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100D.1(6)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 protection system installer and maintenance worker”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“fire protection system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100D.1(8)</w:t>
        </w:r>
      </w:hyperlink>
      <w:r>
        <w:rPr>
          <w:rFonts w:ascii="Times New Roman" w:hAnsi="Times New Roman"/>
          <w:b w:val="false"/>
          <w:i w:val="false"/>
          <w:color w:val="000000"/>
          <w:sz w:val="22"/>
        </w:rPr>
        <w:t>. A fire protection system technician shall be an employee of a fire protection system contractor or, if employed by anyone other than a fire protection system contractor, shall perform work requiring licensing as a fire protection system technician only on property owned or occupied by such employer and may obtain a license if the employer is not a 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 protection system maintenance”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100D.1(7)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“Foam extinguishing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100C.1(11)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“Halogenated extinguishing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100C.1(12)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“Hybrid-inert water mist system”</w:t>
      </w:r>
      <w:r>
        <w:rPr>
          <w:rFonts w:ascii="Times New Roman" w:hAnsi="Times New Roman"/>
          <w:b w:val="false"/>
          <w:i w:val="false"/>
          <w:color w:val="000000"/>
          <w:sz w:val="22"/>
        </w:rPr>
        <w:t> </w:t>
      </w:r>
      <w:r>
        <w:rPr>
          <w:rFonts w:ascii="Times New Roman" w:hAnsi="Times New Roman"/>
          <w:b w:val="false"/>
          <w:i w:val="false"/>
          <w:color w:val="000000"/>
          <w:sz w:val="22"/>
        </w:rPr>
        <w:t>means a system that combines the benefits of inert gas systems and water mist systems to extinguish fires. These systems provide both extinguishment and cooling to prevent reignition utilizing nontoxic, non-ozone-depleting hybrid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“Layout”</w:t>
      </w:r>
      <w:r>
        <w:rPr>
          <w:rFonts w:ascii="Times New Roman" w:hAnsi="Times New Roman"/>
          <w:b w:val="false"/>
          <w:i w:val="false"/>
          <w:color w:val="000000"/>
          <w:sz w:val="22"/>
        </w:rPr>
        <w:t> </w:t>
      </w:r>
      <w:r>
        <w:rPr>
          <w:rFonts w:ascii="Times New Roman" w:hAnsi="Times New Roman"/>
          <w:b w:val="false"/>
          <w:i w:val="false"/>
          <w:color w:val="000000"/>
          <w:sz w:val="22"/>
        </w:rPr>
        <w:t>means drawings, calculations and component specifications to achieve the specified system design installation. “Layout” does not include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“Listed”</w:t>
      </w:r>
      <w:r>
        <w:rPr>
          <w:rFonts w:ascii="Times New Roman" w:hAnsi="Times New Roman"/>
          <w:b w:val="false"/>
          <w:i w:val="false"/>
          <w:color w:val="000000"/>
          <w:sz w:val="22"/>
        </w:rPr>
        <w:t> </w:t>
      </w:r>
      <w:r>
        <w:rPr>
          <w:rFonts w:ascii="Times New Roman" w:hAnsi="Times New Roman"/>
          <w:b w:val="false"/>
          <w:i w:val="false"/>
          <w:color w:val="000000"/>
          <w:sz w:val="22"/>
        </w:rPr>
        <w:t>means equipment, materials, or services included in a list published by a nationally recognized independent testing organization concerned with evaluation of products or services that maintains periodic inspection of the production of listed equipment or materials or periodic evaluation of services and whose listing states that either the equipment, material, or service meets appropriate designated standards or has been tested and found suitable for a specified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“Preengineered dry chemical or wet agent fire suppression system”</w:t>
      </w:r>
      <w:r>
        <w:rPr>
          <w:rFonts w:ascii="Times New Roman" w:hAnsi="Times New Roman"/>
          <w:b w:val="false"/>
          <w:i w:val="false"/>
          <w:color w:val="000000"/>
          <w:sz w:val="22"/>
        </w:rPr>
        <w:t> </w:t>
      </w:r>
      <w:r>
        <w:rPr>
          <w:rFonts w:ascii="Times New Roman" w:hAnsi="Times New Roman"/>
          <w:b w:val="false"/>
          <w:i w:val="false"/>
          <w:color w:val="000000"/>
          <w:sz w:val="22"/>
        </w:rPr>
        <w:t>means any system having predetermined flow rates, nozzle pressures and limited quantities of either agent. These systems have specific pipe sizes, maximum and minimum pipe lengths, flexible hose specifications, number of fittings and number and types of nozzles prescribed by a nationally recognized testing laboratory. The hazards against which these systems protect are specifically limited by the testing laboratory as to the type and size based upon actual fire tests. Limitations on hazards that can be protected against by these systems are contained in the manufacturer’s installation manual, which is referenced as part of the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“Preengineered fire protection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100D.1(9)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“Preengineered water-based fire protection system”</w:t>
      </w:r>
      <w:r>
        <w:rPr>
          <w:rFonts w:ascii="Times New Roman" w:hAnsi="Times New Roman"/>
          <w:b w:val="false"/>
          <w:i w:val="false"/>
          <w:color w:val="000000"/>
          <w:sz w:val="22"/>
        </w:rPr>
        <w:t> </w:t>
      </w:r>
      <w:r>
        <w:rPr>
          <w:rFonts w:ascii="Times New Roman" w:hAnsi="Times New Roman"/>
          <w:b w:val="false"/>
          <w:i w:val="false"/>
          <w:color w:val="000000"/>
          <w:sz w:val="22"/>
        </w:rPr>
        <w:t>means a packaged, water-based sprinkler system including all components connected to a water supply and designed to be installed according to pretested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managing employee”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4">
        <w:r>
          <w:rPr>
            <w:rStyle w:val="Hyperlink"/>
            <w:rFonts w:ascii="Times New Roman" w:hAnsi="Times New Roman"/>
            <w:b w:val="false"/>
            <w:i w:val="false"/>
            <w:color w:val="000000"/>
            <w:sz w:val="22"/>
          </w:rPr>
          <w:t>100D.1(10)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“Routine maintenance”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100D.1(11)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hazards system”</w:t>
      </w:r>
      <w:r>
        <w:rPr>
          <w:rFonts w:ascii="Times New Roman" w:hAnsi="Times New Roman"/>
          <w:b w:val="false"/>
          <w:i w:val="false"/>
          <w:color w:val="000000"/>
          <w:sz w:val="22"/>
        </w:rPr>
        <w:t> </w:t>
      </w:r>
      <w:r>
        <w:rPr>
          <w:rFonts w:ascii="Times New Roman" w:hAnsi="Times New Roman"/>
          <w:b w:val="false"/>
          <w:i w:val="false"/>
          <w:color w:val="000000"/>
          <w:sz w:val="22"/>
        </w:rPr>
        <w:t>means a fire extinguishing system utilizing fire detection and control methods to release an extinguishing agent, other than water connected to a dedicated fire protection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agent”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“wet chemical”</w:t>
      </w:r>
      <w:r>
        <w:rPr>
          <w:rFonts w:ascii="Times New Roman" w:hAnsi="Times New Roman"/>
          <w:b w:val="false"/>
          <w:i w:val="false"/>
          <w:color w:val="000000"/>
          <w:sz w:val="22"/>
        </w:rPr>
        <w:t> </w:t>
      </w:r>
      <w:r>
        <w:rPr>
          <w:rFonts w:ascii="Times New Roman" w:hAnsi="Times New Roman"/>
          <w:b w:val="false"/>
          <w:i w:val="false"/>
          <w:color w:val="000000"/>
          <w:sz w:val="22"/>
        </w:rPr>
        <w:t>means an aqueous solution of organic or inorganic salts or a combination thereof that forms an extinguishing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481—266.3</w:t>
      </w:r>
      <w:r>
        <w:rPr>
          <w:rFonts w:ascii="Times New Roman" w:hAnsi="Times New Roman"/>
          <w:b/>
          <w:i w:val="false"/>
          <w:color w:val="000000"/>
          <w:sz w:val="22"/>
        </w:rPr>
        <w:t xml:space="preserve">(100D) </w:t>
      </w:r>
      <w:r>
        <w:rPr>
          <w:rFonts w:ascii="Times New Roman" w:hAnsi="Times New Roman"/>
          <w:b/>
          <w:i w:val="false"/>
          <w:color w:val="000000"/>
          <w:sz w:val="22"/>
        </w:rPr>
        <w:t xml:space="preserve">Licensing requirements. </w:t>
      </w:r>
      <w:r>
        <w:rPr>
          <w:rFonts w:ascii="Times New Roman" w:hAnsi="Times New Roman"/>
          <w:b w:val="false"/>
          <w:i w:val="false"/>
          <w:color w:val="000000"/>
          <w:sz w:val="22"/>
        </w:rPr>
        <w:t>A fire protection system installer and maintenance worker shall meet all of the following requirements in order to receive a license from the department and shall continue to meet all requirements throughout the period of licensure. A licensee shall notify the department, in writing, within 30 calendar days if the licensee fails to meet any requirement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266.3(1)</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Each licensee shall maintain compliance with all other applicable provisions of law related to operation in the state of Iowa and in any political subdivision in which the licensee is performing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266.3(2)</w:t>
      </w:r>
      <w:r>
        <w:rPr>
          <w:rFonts w:ascii="Times New Roman" w:hAnsi="Times New Roman"/>
          <w:b w:val="false"/>
          <w:i w:val="false"/>
          <w:color w:val="000000"/>
          <w:sz w:val="22"/>
        </w:rPr>
        <w:t> </w:t>
      </w:r>
      <w:r>
        <w:rPr>
          <w:rFonts w:ascii="Times New Roman" w:hAnsi="Times New Roman"/>
          <w:b w:val="false"/>
          <w:i/>
          <w:color w:val="000000"/>
          <w:sz w:val="22"/>
        </w:rPr>
        <w:t xml:space="preserve">Training requirements. </w:t>
      </w:r>
      <w:r>
        <w:rPr>
          <w:rFonts w:ascii="Times New Roman" w:hAnsi="Times New Roman"/>
          <w:b w:val="false"/>
          <w:i w:val="false"/>
          <w:color w:val="000000"/>
          <w:sz w:val="22"/>
        </w:rPr>
        <w:t>An applicant for a license shall meet one of the requirements for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Inspection Testing and Certification Corporation (NITC) in the STAR Fire Sprinkler Fitting Mastery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Institute for Certification in Engineering Technologies (NICET) at level I or above in water-based system layout,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inspection and testing of water-based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protection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Association of Fire Equipment Distributors (NAFED) in preengineered kitchen fire extinguishing systems, preengineered industrial fire extinguishing systems, or both,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installation of any system the technician installs,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Fire Protection Certification LTD (FPC) in commercial kitchen fire suppression system service, preengineered fire suppression maintenance,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protection systems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installation of any system the technician installs.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NITC in the STAR Fire Sprinkler Fitting Mastery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water-based systems layout,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inspection and testing of water-based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certification by the NICET at level I or above in special hazard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protection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NAFED in preengineered kitchen fire extinguishing systems, preengineered industrial fire extinguishing systems, or both,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maintenance and inspection of any system the technician inspects,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certification by the FPC in commercial kitchen fire suppression system service, preengineered fire suppression maintenance, or both.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protection systems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maintenance and inspection of any system the technician inspects.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Fire protection system technician trainee: Submission of a completed application no later than the first day of employment. A fire protection system technician trainee may perform work that requires licensure under this chapter only under the direct supervision of a licensed fire protection system technician or responsible managing employee whose license contains one or more endorsements as provided in subrule </w:t>
      </w:r>
      <w:hyperlink r:id="rId26">
        <w:r>
          <w:rPr>
            <w:rStyle w:val="Hyperlink"/>
            <w:rFonts w:ascii="Times New Roman" w:hAnsi="Times New Roman"/>
            <w:b w:val="false"/>
            <w:i w:val="false"/>
            <w:color w:val="000000"/>
            <w:sz w:val="22"/>
          </w:rPr>
          <w:t>265.1(2)</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266.1(2)</w:t>
        </w:r>
      </w:hyperlink>
      <w:r>
        <w:rPr>
          <w:rFonts w:ascii="Times New Roman" w:hAnsi="Times New Roman"/>
          <w:b w:val="false"/>
          <w:i w:val="false"/>
          <w:color w:val="000000"/>
          <w:sz w:val="22"/>
        </w:rPr>
        <w:t>, and that work must be within the scope of work authorized by the endorsements held by the supervising fire protection system technician or responsible managing employee. At least one licensed fire protection system technician or responsible managing employee must be present for every three apprentice fire protection system installers and maintenance workers or fire protection system technician trainees performing work related to fire protection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 license may be renewed only if the licensee has completed recertification of the applicable certification requirements relative to the endorsement(s) for which the license is being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266.3(4)</w:t>
      </w:r>
      <w:r>
        <w:rPr>
          <w:rFonts w:ascii="Times New Roman" w:hAnsi="Times New Roman"/>
          <w:b w:val="false"/>
          <w:i w:val="false"/>
          <w:color w:val="000000"/>
          <w:sz w:val="22"/>
        </w:rPr>
        <w:t> </w:t>
      </w:r>
      <w:r>
        <w:rPr>
          <w:rFonts w:ascii="Times New Roman" w:hAnsi="Times New Roman"/>
          <w:b w:val="false"/>
          <w:i/>
          <w:color w:val="000000"/>
          <w:sz w:val="22"/>
        </w:rPr>
        <w:t xml:space="preserve">Training or testing approval. </w:t>
      </w:r>
      <w:r>
        <w:rPr>
          <w:rFonts w:ascii="Times New Roman" w:hAnsi="Times New Roman"/>
          <w:b w:val="false"/>
          <w:i w:val="false"/>
          <w:color w:val="000000"/>
          <w:sz w:val="22"/>
        </w:rPr>
        <w:t xml:space="preserve">Satisfactory completion of an applicable training or testing program approved by the department may replace any of the endorsement requirements of subrule </w:t>
      </w:r>
      <w:hyperlink r:id="rId28">
        <w:r>
          <w:rPr>
            <w:rStyle w:val="Hyperlink"/>
            <w:rFonts w:ascii="Times New Roman" w:hAnsi="Times New Roman"/>
            <w:b w:val="false"/>
            <w:i w:val="false"/>
            <w:color w:val="000000"/>
            <w:sz w:val="22"/>
          </w:rPr>
          <w:t>266.3(2)</w:t>
        </w:r>
      </w:hyperlink>
      <w:r>
        <w:rPr>
          <w:rFonts w:ascii="Times New Roman" w:hAnsi="Times New Roman"/>
          <w:b w:val="false"/>
          <w:i w:val="false"/>
          <w:color w:val="000000"/>
          <w:sz w:val="22"/>
        </w:rPr>
        <w:t>. In any case in which training or testing that is offered to satisfy the requirements of this rule is required to be approved by the department, such approval is required prior to acceptance of the training or testing to meet licensure requirements. Approval by the department of any training or testing to meet these requirements may be sought by the individual, firm, or organization providing the testing or training or initiated by the department. Any individual, firm, or organization seeking to obtain such approval may apply to the department no later than July 1 every odd-numbered year. Program information and any other documentation requested by the department for consideration shall be submitted to the department. Training and testing approved by the department will be listed on the department’s licensing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266.3(5)</w:t>
      </w:r>
      <w:r>
        <w:rPr>
          <w:rFonts w:ascii="Times New Roman" w:hAnsi="Times New Roman"/>
          <w:b w:val="false"/>
          <w:i w:val="false"/>
          <w:color w:val="000000"/>
          <w:sz w:val="22"/>
        </w:rPr>
        <w:t> </w:t>
      </w:r>
      <w:r>
        <w:rPr>
          <w:rFonts w:ascii="Times New Roman" w:hAnsi="Times New Roman"/>
          <w:b w:val="false"/>
          <w:i/>
          <w:color w:val="000000"/>
          <w:sz w:val="22"/>
        </w:rPr>
        <w:t xml:space="preserve">License applicability. </w:t>
      </w:r>
      <w:r>
        <w:rPr>
          <w:rFonts w:ascii="Times New Roman" w:hAnsi="Times New Roman"/>
          <w:b w:val="false"/>
          <w:i w:val="false"/>
          <w:color w:val="000000"/>
          <w:sz w:val="22"/>
        </w:rPr>
        <w:t>Work performed by a technician or trainee subject to these rules shall be limited to areas of competence indicated by the specific endorsement(s) identified on the license. Work performed in the state shall not begin prior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new or renewed license issued by the department to the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written approval to perform work prior to issuance of a new or renewed license from the department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266.3(6)</w:t>
      </w:r>
      <w:r>
        <w:rPr>
          <w:rFonts w:ascii="Times New Roman" w:hAnsi="Times New Roman"/>
          <w:b w:val="false"/>
          <w:i w:val="false"/>
          <w:color w:val="000000"/>
          <w:sz w:val="22"/>
        </w:rPr>
        <w:t> </w:t>
      </w:r>
      <w:r>
        <w:rPr>
          <w:rFonts w:ascii="Times New Roman" w:hAnsi="Times New Roman"/>
          <w:b w:val="false"/>
          <w:i/>
          <w:color w:val="000000"/>
          <w:sz w:val="22"/>
        </w:rPr>
        <w:t xml:space="preserve">Portable fire extinguisher requirements. </w:t>
      </w:r>
      <w:r>
        <w:rPr>
          <w:rFonts w:ascii="Times New Roman" w:hAnsi="Times New Roman"/>
          <w:b w:val="false"/>
          <w:i w:val="false"/>
          <w:color w:val="000000"/>
          <w:sz w:val="22"/>
        </w:rPr>
        <w:t>Nothing in this rule shall be interpreted to conflict with or diminish any requirement for training or certification for anyone installing or servicing a fire extinguishing system or portable fire extinguisher set forth in any rule of the department or local fire ordinance or standard adopted by reference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266.3(7)</w:t>
      </w:r>
      <w:r>
        <w:rPr>
          <w:rFonts w:ascii="Times New Roman" w:hAnsi="Times New Roman"/>
          <w:b w:val="false"/>
          <w:i w:val="false"/>
          <w:color w:val="000000"/>
          <w:sz w:val="22"/>
        </w:rPr>
        <w:t> </w:t>
      </w:r>
      <w:r>
        <w:rPr>
          <w:rFonts w:ascii="Times New Roman" w:hAnsi="Times New Roman"/>
          <w:b w:val="false"/>
          <w:i/>
          <w:color w:val="000000"/>
          <w:sz w:val="22"/>
        </w:rPr>
        <w:t xml:space="preserve">Licensure of persons licensed in other jurisdictions. </w:t>
      </w:r>
      <w:r>
        <w:rPr>
          <w:rFonts w:ascii="Times New Roman" w:hAnsi="Times New Roman"/>
          <w:b w:val="false"/>
          <w:i w:val="false"/>
          <w:color w:val="000000"/>
          <w:sz w:val="22"/>
        </w:rPr>
        <w:t xml:space="preserve">A fire protection system technician license may be issued without examination to a person licensed in other jurisdictions if the conditions of Iowa Code section </w:t>
      </w:r>
      <w:hyperlink r:id="rId2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266.3(8)</w:t>
      </w:r>
      <w:r>
        <w:rPr>
          <w:rFonts w:ascii="Times New Roman" w:hAnsi="Times New Roman"/>
          <w:b w:val="false"/>
          <w:i w:val="false"/>
          <w:color w:val="000000"/>
          <w:sz w:val="22"/>
        </w:rPr>
        <w:t> </w:t>
      </w:r>
      <w:r>
        <w:rPr>
          <w:rFonts w:ascii="Times New Roman" w:hAnsi="Times New Roman"/>
          <w:b w:val="false"/>
          <w:i/>
          <w:color w:val="000000"/>
          <w:sz w:val="22"/>
        </w:rPr>
        <w:t xml:space="preserve">Veterans and active duty military. </w:t>
      </w:r>
      <w:r>
        <w:rPr>
          <w:rFonts w:ascii="Times New Roman" w:hAnsi="Times New Roman"/>
          <w:b w:val="false"/>
          <w:i w:val="false"/>
          <w:color w:val="000000"/>
          <w:sz w:val="22"/>
        </w:rPr>
        <w:t xml:space="preserve">Any individual serving honorably on federal active duty, state active duty, or national guard duty, as defined in Iowa Code section </w:t>
      </w:r>
      <w:hyperlink r:id="rId30">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should apply for licensure following </w:t>
      </w:r>
      <w:hyperlink r:id="rId31">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481—266.4</w:t>
      </w:r>
      <w:r>
        <w:rPr>
          <w:rFonts w:ascii="Times New Roman" w:hAnsi="Times New Roman"/>
          <w:b/>
          <w:i w:val="false"/>
          <w:color w:val="000000"/>
          <w:sz w:val="22"/>
        </w:rPr>
        <w:t xml:space="preserve">(100D) </w:t>
      </w:r>
      <w:r>
        <w:rPr>
          <w:rFonts w:ascii="Times New Roman" w:hAnsi="Times New Roman"/>
          <w:b/>
          <w:i w:val="false"/>
          <w:color w:val="000000"/>
          <w:sz w:val="22"/>
        </w:rPr>
        <w:t xml:space="preserve">Application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person seeking licensure as a fire protection system technician shall submit a completed application form to the department. The application shall be filed no later than 30 days prior to the date of beginning work in this state or the date on which an existing license expires. An application form may be obtained from the department or from the department’s website. The application form shall be submitted with all required attachments and license fee. An application is not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266.4(2)</w:t>
      </w:r>
      <w:r>
        <w:rPr>
          <w:rFonts w:ascii="Times New Roman" w:hAnsi="Times New Roman"/>
          <w:b w:val="false"/>
          <w:i w:val="false"/>
          <w:color w:val="000000"/>
          <w:sz w:val="22"/>
        </w:rPr>
        <w:t> </w:t>
      </w:r>
      <w:r>
        <w:rPr>
          <w:rFonts w:ascii="Times New Roman" w:hAnsi="Times New Roman"/>
          <w:b w:val="false"/>
          <w:i/>
          <w:color w:val="000000"/>
          <w:sz w:val="22"/>
        </w:rPr>
        <w:t xml:space="preserve">License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permanent or provisional license, except for a trainee license, is $200. If an application for a license provides for more than one endorsement as provided in subrule </w:t>
      </w:r>
      <w:hyperlink r:id="rId32">
        <w:r>
          <w:rPr>
            <w:rStyle w:val="Hyperlink"/>
            <w:rFonts w:ascii="Times New Roman" w:hAnsi="Times New Roman"/>
            <w:b w:val="false"/>
            <w:i w:val="false"/>
            <w:color w:val="000000"/>
            <w:sz w:val="22"/>
          </w:rPr>
          <w:t>266.1(2)</w:t>
        </w:r>
      </w:hyperlink>
      <w:r>
        <w:rPr>
          <w:rFonts w:ascii="Times New Roman" w:hAnsi="Times New Roman"/>
          <w:b w:val="false"/>
          <w:i w:val="false"/>
          <w:color w:val="000000"/>
          <w:sz w:val="22"/>
        </w:rPr>
        <w:t>, there will be an additional fee of $25 for each endorsement beyond the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a fire protection system technician trainee license is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license fee shall be submitted electronically, or mailed or hand-delivered by draft, check, or money order in the applicable amount payable to the Iowa Department of Inspections, Appeals, and Licensing. Cash payments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266.4(4)</w:t>
      </w:r>
      <w:r>
        <w:rPr>
          <w:rFonts w:ascii="Times New Roman" w:hAnsi="Times New Roman"/>
          <w:b w:val="false"/>
          <w:i w:val="false"/>
          <w:color w:val="000000"/>
          <w:sz w:val="22"/>
        </w:rPr>
        <w:t> </w:t>
      </w:r>
      <w:r>
        <w:rPr>
          <w:rFonts w:ascii="Times New Roman" w:hAnsi="Times New Roman"/>
          <w:b w:val="false"/>
          <w:i/>
          <w:color w:val="000000"/>
          <w:sz w:val="22"/>
        </w:rPr>
        <w:t xml:space="preserve">Amended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issuance of an amended license is the difference between the original license fee paid and changes in endorsement(s), if applicable. The fee shall be submitted with a request for an amended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will request and the department will issue an amended license for any of the following reasons, and a fee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change in employer. A licensee may only transfer the licensee’s technician license to another employer if the licensee paid the license fee at the time of original application. If the licensee’s previous employer paid the license fee, the licensee must reapply for a new license under the licensee’s new employer and pay 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any other material information included in or with the initial or renewal application. A change of address is a material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changes in the information required in the application form, including renewal of insurance coverage with a new expiration date, shall be reported to the department but will not require issuance of an amended license or payment of the amended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Required attachments to the application for a license are outlined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481—266.5</w:t>
      </w:r>
      <w:r>
        <w:rPr>
          <w:rFonts w:ascii="Times New Roman" w:hAnsi="Times New Roman"/>
          <w:b/>
          <w:i w:val="false"/>
          <w:color w:val="000000"/>
          <w:sz w:val="22"/>
        </w:rPr>
        <w:t xml:space="preserve">(100D)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fire protection system technician, failure of a licensee to meet any of the requirements established in Iowa Code chapter </w:t>
      </w:r>
      <w:hyperlink r:id="rId33">
        <w:r>
          <w:rPr>
            <w:rStyle w:val="Hyperlink"/>
            <w:rFonts w:ascii="Times New Roman" w:hAnsi="Times New Roman"/>
            <w:b w:val="false"/>
            <w:i w:val="false"/>
            <w:color w:val="000000"/>
            <w:sz w:val="22"/>
          </w:rPr>
          <w:t>100D</w:t>
        </w:r>
      </w:hyperlink>
      <w:r>
        <w:rPr>
          <w:rFonts w:ascii="Times New Roman" w:hAnsi="Times New Roman"/>
          <w:b w:val="false"/>
          <w:i w:val="false"/>
          <w:color w:val="000000"/>
          <w:sz w:val="22"/>
        </w:rPr>
        <w:t xml:space="preserve"> or this chapter or any other provision of law, or persons operating as fire protection system installers and maintenance workers without licensure may be submitted to the department. Complaints should be as specific as possible and clearly identify the licensee or other person against whom the complaint is filed. A complaint may be submitted anonymously, but if the name and contact information of the complainant are provided, the complainant will be notified of the disposition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481—266.6</w:t>
      </w:r>
      <w:r>
        <w:rPr>
          <w:rFonts w:ascii="Times New Roman" w:hAnsi="Times New Roman"/>
          <w:b/>
          <w:i w:val="false"/>
          <w:color w:val="000000"/>
          <w:sz w:val="22"/>
        </w:rPr>
        <w:t xml:space="preserve">(100D) </w:t>
      </w:r>
      <w:r>
        <w:rPr>
          <w:rFonts w:ascii="Times New Roman" w:hAnsi="Times New Roman"/>
          <w:b/>
          <w:i w:val="false"/>
          <w:color w:val="000000"/>
          <w:sz w:val="22"/>
        </w:rPr>
        <w:t xml:space="preserve">Denial, suspension, or revocation of licensure; civil penalties; appeals. </w:t>
      </w:r>
      <w:r>
        <w:rPr>
          <w:rFonts w:ascii="Times New Roman" w:hAnsi="Times New Roman"/>
          <w:b w:val="false"/>
          <w:i w:val="false"/>
          <w:color w:val="000000"/>
          <w:sz w:val="22"/>
        </w:rPr>
        <w:t>If a licensee or person who performs work requiring a license violates any provision of these rules or any other provision of law related to work requiring licensure pursuant to this chapter, the department may deny, suspend or revoke a license or assess a civil penalty to a licensee or to a person who performs work requiring licensure pursuant to this chapter and who is not licensed.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department may deny an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makes a false statement on the application form or in any other submission of information required for licensure. “False statement” means providing false information or failing to include material information, such as a previous criminal conviction or action taken by another jurisdiction, when requested on the application form or otherwise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fails to meet all of the requirements for licensure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currently barred for cause from licensure equivalent to that provided for in this chapter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has previously been barred for cause from operating in another jurisdiction as a fire protection system installer and maintenance worker and if the basis of that action reflects upon the integrity of the applicant in operating as a fire protection system installer and maintenance worker. If an applicant is found to have been previously barred for cause from operating as a fire protection system installer and maintenance worker in another jurisdiction and is no longer barred from doing so, the department will evaluate the record of that action with regard to the likelihood that the applicant would operate with integrity as a licensee. If an applicant is denied licensure under this paragraph,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licensee,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licensure under this paragraph,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266.6(2)</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A suspension of a license may be imposed by the department for any violation of these rules or Iowa Code chapter </w:t>
      </w:r>
      <w:hyperlink r:id="rId34">
        <w:r>
          <w:rPr>
            <w:rStyle w:val="Hyperlink"/>
            <w:rFonts w:ascii="Times New Roman" w:hAnsi="Times New Roman"/>
            <w:b w:val="false"/>
            <w:i w:val="false"/>
            <w:color w:val="000000"/>
            <w:sz w:val="22"/>
          </w:rPr>
          <w:t>100D</w:t>
        </w:r>
      </w:hyperlink>
      <w:r>
        <w:rPr>
          <w:rFonts w:ascii="Times New Roman" w:hAnsi="Times New Roman"/>
          <w:b w:val="false"/>
          <w:i w:val="false"/>
          <w:color w:val="000000"/>
          <w:sz w:val="22"/>
        </w:rPr>
        <w:t xml:space="preserve"> or for a failure to meet any legal requirement to operate as a fire protection system installer and maintenance worker in this state. Failure to provide any notice to the department as required by these rules may be grounds for suspension. An order of suspension will specify the length of the suspension and will specify that correction of all conditions that were a basis for the suspension is a condition of reinstatement of the license even after the period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revocation is a termination of a license. A license may be revoked by the department for repeated violations or for a violation which creates an imminent danger to the safety or health of individuals protected by a fire protection system incorrectly installed by a licensee or when information comes to the attention of the department which, if known to the department when the application was being considered, would have resulted in denial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application for a license from an applicant whose license has previously been revoked will not be considered for a period of one year after the effective date of the revocation and, in any event, until every condition that was a basis for the revocation has been corrected. The department may specify in the revocation order a period longer than one year before a new application for a license may be considered. When a new application for a license from a person whose license was previously revoked is being considered, the applicant may be denied a license based upon the same information that was the basis for revocation even after any such period established by the department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266.6(4)</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for criminal convictions limited. </w:t>
      </w:r>
      <w:r>
        <w:rPr>
          <w:rFonts w:ascii="Times New Roman" w:hAnsi="Times New Roman"/>
          <w:b w:val="false"/>
          <w:i w:val="false"/>
          <w:color w:val="000000"/>
          <w:sz w:val="22"/>
        </w:rPr>
        <w:t xml:space="preserve">A person’s conviction of a crime may be grounds for the denial, revocation, or suspension of a license in circumstances authorized by Iowa Code section </w:t>
      </w:r>
      <w:hyperlink r:id="rId35">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The department may impose a civil penalty of up to $500 per day during which a violation has occurred and for every day until the violation is corrected. A civil penalty may be imposed in lieu of or in addition to a suspension or may be imposed in addition to a revocation. A civil penalty will not be imposed in lieu of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denial, suspension, or revocation of a license, or any civil penalty imposed upon a licensee or other person under this rule may be appealed within 14 days of receipt of the notice by submitting a written request for a contested case appeal to the department. An appeal is subject to the provisions of </w:t>
      </w:r>
      <w:hyperlink r:id="rId3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8">
        <w:r>
          <w:rPr>
            <w:rStyle w:val="Hyperlink"/>
            <w:rFonts w:ascii="Times New Roman" w:hAnsi="Times New Roman"/>
            <w:b w:val="false"/>
            <w:i w:val="false"/>
            <w:color w:val="000000"/>
            <w:sz w:val="22"/>
          </w:rPr>
          <w:t>100D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9032B</w:t>
      </w:r>
      <w:r>
        <w:rPr>
          <w:rFonts w:ascii="Times New Roman" w:hAnsi="Times New Roman"/>
          <w:b w:val="false"/>
          <w:i w:val="false"/>
          <w:color w:val="000000"/>
          <w:sz w:val="21"/>
        </w:rPr>
        <w:t xml:space="preserve"> (Notice ARC 8855B, IAB 6/16/10)</w:t>
      </w:r>
      <w:r>
        <w:rPr>
          <w:rFonts w:ascii="Times New Roman" w:hAnsi="Times New Roman"/>
          <w:b w:val="false"/>
          <w:i w:val="false"/>
          <w:color w:val="000000"/>
          <w:sz w:val="21"/>
        </w:rPr>
        <w:t>, IAB 8/25/10, effective 10/1/10]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10/6/10]</w:t>
      </w:r>
    </w:p>
    <w:p>
      <w:pPr>
        <w:spacing w:before="0" w:after="0"/>
        <w:ind w:left="120"/>
        <w:jc w:val="center"/>
      </w:pPr>
      <w:r>
        <w:rPr>
          <w:rFonts w:ascii="Times New Roman" w:hAnsi="Times New Roman"/>
          <w:b w:val="false"/>
          <w:i w:val="false"/>
          <w:color w:val="000000"/>
          <w:sz w:val="21"/>
        </w:rPr>
        <w:t>[Filed ARC 5396C</w:t>
      </w:r>
      <w:r>
        <w:rPr>
          <w:rFonts w:ascii="Times New Roman" w:hAnsi="Times New Roman"/>
          <w:b w:val="false"/>
          <w:i w:val="false"/>
          <w:color w:val="000000"/>
          <w:sz w:val="21"/>
        </w:rPr>
        <w:t xml:space="preserve"> (Notice ARC 5273C, IAB 11/18/20)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7874C</w:t>
      </w:r>
      <w:r>
        <w:rPr>
          <w:rFonts w:ascii="Times New Roman" w:hAnsi="Times New Roman"/>
          <w:b w:val="false"/>
          <w:i w:val="false"/>
          <w:color w:val="000000"/>
          <w:sz w:val="21"/>
        </w:rPr>
        <w:t xml:space="preserve"> (Notice ARC 7335C,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October 1, 2010, effective date of 276.3(1) delayed 70 days by the Administrative Rules Review Committee at its meeting held September 14, 2010.</w:t>
      </w:r>
    </w:p>
    <w:sectPr>
      <w:footerReference r:id="rId3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0D.pdf" Type="http://schemas.openxmlformats.org/officeDocument/2006/relationships/hyperlink" Id="rId5"/>
    <Relationship TargetMode="External" Target="https://www.legis.iowa.gov/docs/ico/chapter/100D.2.pdf" Type="http://schemas.openxmlformats.org/officeDocument/2006/relationships/hyperlink" Id="rId6"/>
    <Relationship TargetMode="External" Target="https://www.legis.iowa.gov/docs/ico/chapter/100D.11.pdf" Type="http://schemas.openxmlformats.org/officeDocument/2006/relationships/hyperlink" Id="rId7"/>
    <Relationship TargetMode="External" Target="https://www.legis.iowa.gov/docs/ico/chapter/100D.2.pdf" Type="http://schemas.openxmlformats.org/officeDocument/2006/relationships/hyperlink" Id="rId8"/>
    <Relationship TargetMode="External" Target="https://www.legis.iowa.gov/docs/ico/chapter/100D.2.pdf" Type="http://schemas.openxmlformats.org/officeDocument/2006/relationships/hyperlink" Id="rId9"/>
    <Relationship TargetMode="External" Target="https://www.legis.iowa.gov/docs/ico/chapter/100D.1.pdf" Type="http://schemas.openxmlformats.org/officeDocument/2006/relationships/hyperlink" Id="rId10"/>
    <Relationship TargetMode="External" Target="https://www.legis.iowa.gov/docs/ico/chapter/100C.1.pdf" Type="http://schemas.openxmlformats.org/officeDocument/2006/relationships/hyperlink" Id="rId11"/>
    <Relationship TargetMode="External" Target="https://www.legis.iowa.gov/docs/ico/chapter/100C.1.pdf" Type="http://schemas.openxmlformats.org/officeDocument/2006/relationships/hyperlink" Id="rId12"/>
    <Relationship TargetMode="External" Target="https://www.legis.iowa.gov/docs/ico/chapter/100C.1.pdf" Type="http://schemas.openxmlformats.org/officeDocument/2006/relationships/hyperlink" Id="rId13"/>
    <Relationship TargetMode="External" Target="https://www.legis.iowa.gov/docs/ico/chapter/100C.1.pdf" Type="http://schemas.openxmlformats.org/officeDocument/2006/relationships/hyperlink" Id="rId14"/>
    <Relationship TargetMode="External" Target="https://www.legis.iowa.gov/docs/ico/chapter/100D.1.pdf" Type="http://schemas.openxmlformats.org/officeDocument/2006/relationships/hyperlink" Id="rId15"/>
    <Relationship TargetMode="External" Target="https://www.legis.iowa.gov/docs/ico/chapter/100D.1.pdf" Type="http://schemas.openxmlformats.org/officeDocument/2006/relationships/hyperlink" Id="rId16"/>
    <Relationship TargetMode="External" Target="https://www.legis.iowa.gov/docs/ico/chapter/100D.1.pdf" Type="http://schemas.openxmlformats.org/officeDocument/2006/relationships/hyperlink" Id="rId17"/>
    <Relationship TargetMode="External" Target="https://www.legis.iowa.gov/docs/ico/chapter/100D.1.pdf" Type="http://schemas.openxmlformats.org/officeDocument/2006/relationships/hyperlink" Id="rId18"/>
    <Relationship TargetMode="External" Target="https://www.legis.iowa.gov/docs/ico/chapter/100D.1.pdf" Type="http://schemas.openxmlformats.org/officeDocument/2006/relationships/hyperlink" Id="rId19"/>
    <Relationship TargetMode="External" Target="https://www.legis.iowa.gov/docs/ico/chapter/100D.1.pdf" Type="http://schemas.openxmlformats.org/officeDocument/2006/relationships/hyperlink" Id="rId20"/>
    <Relationship TargetMode="External" Target="https://www.legis.iowa.gov/docs/ico/chapter/100C.1.pdf" Type="http://schemas.openxmlformats.org/officeDocument/2006/relationships/hyperlink" Id="rId21"/>
    <Relationship TargetMode="External" Target="https://www.legis.iowa.gov/docs/ico/chapter/100C.1.pdf" Type="http://schemas.openxmlformats.org/officeDocument/2006/relationships/hyperlink" Id="rId22"/>
    <Relationship TargetMode="External" Target="https://www.legis.iowa.gov/docs/ico/chapter/100D.1.pdf" Type="http://schemas.openxmlformats.org/officeDocument/2006/relationships/hyperlink" Id="rId23"/>
    <Relationship TargetMode="External" Target="https://www.legis.iowa.gov/docs/ico/chapter/100D.1.pdf" Type="http://schemas.openxmlformats.org/officeDocument/2006/relationships/hyperlink" Id="rId24"/>
    <Relationship TargetMode="External" Target="https://www.legis.iowa.gov/docs/ico/chapter/100D.1.pdf" Type="http://schemas.openxmlformats.org/officeDocument/2006/relationships/hyperlink" Id="rId25"/>
    <Relationship TargetMode="External" Target="https://www.legis.iowa.gov/docs/iac/rule/481.265.1.pdf" Type="http://schemas.openxmlformats.org/officeDocument/2006/relationships/hyperlink" Id="rId26"/>
    <Relationship TargetMode="External" Target="https://www.legis.iowa.gov/docs/iac/rule/481.266.1.pdf" Type="http://schemas.openxmlformats.org/officeDocument/2006/relationships/hyperlink" Id="rId27"/>
    <Relationship TargetMode="External" Target="https://www.legis.iowa.gov/docs/iac/rule/481.266.3.pdf" Type="http://schemas.openxmlformats.org/officeDocument/2006/relationships/hyperlink" Id="rId28"/>
    <Relationship TargetMode="External" Target="https://www.legis.iowa.gov/docs/ico/chapter/272C.12.pdf" Type="http://schemas.openxmlformats.org/officeDocument/2006/relationships/hyperlink" Id="rId29"/>
    <Relationship TargetMode="External" Target="https://www.legis.iowa.gov/docs/ico/chapter/29A.1.pdf" Type="http://schemas.openxmlformats.org/officeDocument/2006/relationships/hyperlink" Id="rId30"/>
    <Relationship TargetMode="External" Target="https://www.legis.iowa.gov/docs/iac/chapter/481.7.pdf" Type="http://schemas.openxmlformats.org/officeDocument/2006/relationships/hyperlink" Id="rId31"/>
    <Relationship TargetMode="External" Target="https://www.legis.iowa.gov/docs/iac/rule/481.266.1.pdf" Type="http://schemas.openxmlformats.org/officeDocument/2006/relationships/hyperlink" Id="rId32"/>
    <Relationship TargetMode="External" Target="https://www.legis.iowa.gov/docs/ico/chapter/100D.pdf" Type="http://schemas.openxmlformats.org/officeDocument/2006/relationships/hyperlink" Id="rId33"/>
    <Relationship TargetMode="External" Target="https://www.legis.iowa.gov/docs/ico/chapter/100D.pdf" Type="http://schemas.openxmlformats.org/officeDocument/2006/relationships/hyperlink" Id="rId34"/>
    <Relationship TargetMode="External" Target="https://www.legis.iowa.gov/docs/ico/chapter/272C.15.pdf" Type="http://schemas.openxmlformats.org/officeDocument/2006/relationships/hyperlink" Id="rId35"/>
    <Relationship TargetMode="External" Target="https://www.legis.iowa.gov/docs/iac/chapter/7.2506.pdf" Type="http://schemas.openxmlformats.org/officeDocument/2006/relationships/hyperlink" Id="rId36"/>
    <Relationship TargetMode="External" Target="https://www.legis.iowa.gov/docs/iac/chapter/481.10.pdf" Type="http://schemas.openxmlformats.org/officeDocument/2006/relationships/hyperlink" Id="rId37"/>
    <Relationship TargetMode="External" Target="https://www.legis.iowa.gov/docs/ico/chapter/100D.pdf" Type="http://schemas.openxmlformats.org/officeDocument/2006/relationships/hyperlink" Id="rId38"/>
    <Relationship Target="footer.xml" Type="http://schemas.openxmlformats.org/officeDocument/2006/relationships/footer"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