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265</w:t>
      </w:r>
    </w:p>
    <w:p>
      <w:pPr>
        <w:spacing w:before="0" w:after="0"/>
        <w:ind w:left="120"/>
        <w:jc w:val="center"/>
      </w:pPr>
      <w:r>
        <w:rPr>
          <w:rFonts w:ascii="Times New Roman" w:hAnsi="Times New Roman"/>
          <w:b w:val="false"/>
          <w:i w:val="false"/>
          <w:color w:val="000000"/>
          <w:sz w:val="21"/>
        </w:rPr>
        <w:t>LICENSING OF FIRE PROTECTION SYSTEM CONTRACTORS</w:t>
      </w:r>
    </w:p>
    <w:p>
      <w:pPr>
        <w:spacing w:before="0" w:after="0"/>
        <w:ind w:left="120"/>
        <w:jc w:val="center"/>
      </w:pPr>
      <w:r>
        <w:rPr>
          <w:rFonts w:ascii="Times New Roman" w:hAnsi="Times New Roman"/>
          <w:b w:val="false"/>
          <w:i w:val="false"/>
          <w:color w:val="000000"/>
          <w:sz w:val="20"/>
        </w:rPr>
        <w:t>[Prior to 11/26/25, see Public Safety Department[661] Ch 275]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481—265.1</w:t>
      </w:r>
      <w:r>
        <w:rPr>
          <w:rFonts w:ascii="Times New Roman" w:hAnsi="Times New Roman"/>
          <w:b/>
          <w:i w:val="false"/>
          <w:color w:val="000000"/>
          <w:sz w:val="22"/>
        </w:rPr>
        <w:t xml:space="preserve">(100C)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fire protection system contractor license is established pursuant to Iowa Code chapter </w:t>
      </w:r>
      <w:hyperlink r:id="rId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No person shall act as a fire extinguishing system contractor without being currently licensed as a fire protection system contractor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The licensure of each contractor will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systems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systems in one- and two-family dwellings maintenance inspection.</w:t>
      </w:r>
    </w:p>
    <w:p>
      <w:pPr>
        <w:spacing w:before="0" w:after="0"/>
        <w:ind w:left="120"/>
        <w:jc w:val="both"/>
      </w:pPr>
      <w:r>
        <w:rPr>
          <w:rFonts w:ascii="Times New Roman" w:hAnsi="Times New Roman"/>
          <w:b w:val="false"/>
          <w:i w:val="false"/>
          <w:color w:val="000000"/>
          <w:sz w:val="22"/>
        </w:rPr>
        <w:t>Any person acting as a fire extinguishing system contractor shall do so only in relation to systems covered by the endorsements on the contractor’s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A license is normally for one year and expires on March 31 each year. A license which is effective on a date other than April 1 is effective on the date on which the license is issued and expires on March 31 of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481—265.2</w:t>
      </w:r>
      <w:r>
        <w:rPr>
          <w:rFonts w:ascii="Times New Roman" w:hAnsi="Times New Roman"/>
          <w:b/>
          <w:i w:val="false"/>
          <w:color w:val="000000"/>
          <w:sz w:val="22"/>
        </w:rPr>
        <w:t xml:space="preserve">(100C)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“Aerosol fire extinguishing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uses a combination of microparticles and gaseous matter to flood the protected area. The particles are in a vapor state until discharged from the device. On release, a chain reaction produces solid particles and gaseous matter to suppress the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dry-chemical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100C.1(4)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fire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100C.1(5)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sprinkler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100C.1(6)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“Carbon dioxide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100C.1(7)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 agent”</w:t>
      </w:r>
      <w:r>
        <w:rPr>
          <w:rFonts w:ascii="Times New Roman" w:hAnsi="Times New Roman"/>
          <w:b w:val="false"/>
          <w:i w:val="false"/>
          <w:color w:val="000000"/>
          <w:sz w:val="22"/>
        </w:rPr>
        <w:t> </w:t>
      </w:r>
      <w:r>
        <w:rPr>
          <w:rFonts w:ascii="Times New Roman" w:hAnsi="Times New Roman"/>
          <w:b w:val="false"/>
          <w:i w:val="false"/>
          <w:color w:val="000000"/>
          <w:sz w:val="22"/>
        </w:rPr>
        <w:t>means an electrically nonconducting, volatile, or gaseous fire extinguishant that does not leave a residue upon evaporation.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“Deluge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chemical”</w:t>
      </w:r>
      <w:r>
        <w:rPr>
          <w:rFonts w:ascii="Times New Roman" w:hAnsi="Times New Roman"/>
          <w:b w:val="false"/>
          <w:i w:val="false"/>
          <w:color w:val="000000"/>
          <w:sz w:val="22"/>
        </w:rPr>
        <w:t> </w:t>
      </w:r>
      <w:r>
        <w:rPr>
          <w:rFonts w:ascii="Times New Roman" w:hAnsi="Times New Roman"/>
          <w:b w:val="false"/>
          <w:i w:val="false"/>
          <w:color w:val="000000"/>
          <w:sz w:val="22"/>
        </w:rPr>
        <w:t>means a powder composed of very small particles, usually sodium bicarbonate-, potassium bicarbonate-, or ammonium phosphate-based, with added particulate material supplemented by special treatment to provide resistance to packing, resistance to moisture absorption (caking), and the proper flow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pipe sprinkler system”</w:t>
      </w:r>
      <w:r>
        <w:rPr>
          <w:rFonts w:ascii="Times New Roman" w:hAnsi="Times New Roman"/>
          <w:b w:val="false"/>
          <w:i w:val="false"/>
          <w:color w:val="000000"/>
          <w:sz w:val="22"/>
        </w:rPr>
        <w:t> </w:t>
      </w:r>
      <w:r>
        <w:rPr>
          <w:rFonts w:ascii="Times New Roman" w:hAnsi="Times New Roman"/>
          <w:b w:val="false"/>
          <w:i w:val="false"/>
          <w:color w:val="000000"/>
          <w:sz w:val="22"/>
        </w:rPr>
        <w:t>means an extinguishing system employing automatic sprinklers that are attached to a piping system containing air or nitrogen under pressure, the release of which (as from the opening of a sprinkler) permits the water pressure to open a valve known as a dry pipe valve, which allows the water to flow into the piping system and out the opened sprinklers.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extinguishing system contractor,” “fire protection system 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100C.1(10)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“Foam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100C.1(11)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“Halogenated extinguishing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100C.1(12)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“Hybrid-inert water mist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combines the benefits of inert gas systems and water mist systems to extinguish fires. These systems provide both extinguishment and cooling to prevent reignition utilizing nontoxic, non-ozone-depleting hybrid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“Layout”</w:t>
      </w:r>
      <w:r>
        <w:rPr>
          <w:rFonts w:ascii="Times New Roman" w:hAnsi="Times New Roman"/>
          <w:b w:val="false"/>
          <w:i w:val="false"/>
          <w:color w:val="000000"/>
          <w:sz w:val="22"/>
        </w:rPr>
        <w: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“Listed”</w:t>
      </w:r>
      <w:r>
        <w:rPr>
          <w:rFonts w:ascii="Times New Roman" w:hAnsi="Times New Roman"/>
          <w:b w:val="false"/>
          <w:i w:val="false"/>
          <w:color w:val="000000"/>
          <w:sz w:val="22"/>
        </w:rPr>
        <w:t> </w:t>
      </w:r>
      <w:r>
        <w:rPr>
          <w:rFonts w:ascii="Times New Roman" w:hAnsi="Times New Roman"/>
          <w:b w:val="false"/>
          <w:i w:val="false"/>
          <w:color w:val="000000"/>
          <w:sz w:val="22"/>
        </w:rPr>
        <w:t>means equipment, materials, or services included in a list published by a nationally recognized independent testing organization concerned with evaluation of products or services that maintains periodic inspection of production of listed equipment or materials or periodic evaluation of services and whose listing states that either the equipment, material, or service meets appropriate designated standards or has been tested and found suitable for a specified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 inspection”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100C.1(13)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“Preengineered dry chemical or wet agent fire suppression system”</w:t>
      </w:r>
      <w:r>
        <w:rPr>
          <w:rFonts w:ascii="Times New Roman" w:hAnsi="Times New Roman"/>
          <w:b w:val="false"/>
          <w:i w:val="false"/>
          <w:color w:val="000000"/>
          <w:sz w:val="22"/>
        </w:rPr>
        <w:t> </w:t>
      </w:r>
      <w:r>
        <w:rPr>
          <w:rFonts w:ascii="Times New Roman" w:hAnsi="Times New Roman"/>
          <w:b w:val="false"/>
          <w:i w:val="false"/>
          <w:color w:val="000000"/>
          <w:sz w:val="22"/>
        </w:rPr>
        <w:t>means any system having predetermined flow rates, nozzle pressures and limited quantities of either agent. These systems have specific pipe sizes, maximum and minimum pipe lengths, flexible hose specifications, number of fittings and number and types of nozzles prescribed by a nationally recognized testing laboratory. The hazards against which these systems protect are specifically limited by the testing laboratory as to the type and size based upon actual fire tests. Limitations on hazards that can be protected against by these systems are contained in the manufacturer’s installation manual, which is referenced as part of the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“Preengineered water-based system”</w:t>
      </w:r>
      <w:r>
        <w:rPr>
          <w:rFonts w:ascii="Times New Roman" w:hAnsi="Times New Roman"/>
          <w:b w:val="false"/>
          <w:i w:val="false"/>
          <w:color w:val="000000"/>
          <w:sz w:val="22"/>
        </w:rPr>
        <w:t> </w:t>
      </w:r>
      <w:r>
        <w:rPr>
          <w:rFonts w:ascii="Times New Roman" w:hAnsi="Times New Roman"/>
          <w:b w:val="false"/>
          <w:i w:val="false"/>
          <w:color w:val="000000"/>
          <w:sz w:val="22"/>
        </w:rPr>
        <w:t>means a packaged, water-based sprinkler system including all components connected to a water supply and designed to be installed according to pretested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managing employee”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100C.1(14)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hazards system”</w:t>
      </w:r>
      <w:r>
        <w:rPr>
          <w:rFonts w:ascii="Times New Roman" w:hAnsi="Times New Roman"/>
          <w:b w:val="false"/>
          <w:i w:val="false"/>
          <w:color w:val="000000"/>
          <w:sz w:val="22"/>
        </w:rPr>
        <w:t> </w:t>
      </w:r>
      <w:r>
        <w:rPr>
          <w:rFonts w:ascii="Times New Roman" w:hAnsi="Times New Roman"/>
          <w:b w:val="false"/>
          <w:i w:val="false"/>
          <w:color w:val="000000"/>
          <w:sz w:val="22"/>
        </w:rPr>
        <w:t>means a fire extinguishing system utilizing fire detection and control methods to release an extinguishing agent, other than water connected to a dedicated fire protection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agent”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“wet chemical”</w:t>
      </w:r>
      <w:r>
        <w:rPr>
          <w:rFonts w:ascii="Times New Roman" w:hAnsi="Times New Roman"/>
          <w:b w:val="false"/>
          <w:i w:val="false"/>
          <w:color w:val="000000"/>
          <w:sz w:val="22"/>
        </w:rPr>
        <w:t> </w:t>
      </w:r>
      <w:r>
        <w:rPr>
          <w:rFonts w:ascii="Times New Roman" w:hAnsi="Times New Roman"/>
          <w:b w:val="false"/>
          <w:i w:val="false"/>
          <w:color w:val="000000"/>
          <w:sz w:val="22"/>
        </w:rPr>
        <w:t>means an aqueous solution of organic or inorganic salts or a combination thereof that forms an extinguishing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481—265.3</w:t>
      </w:r>
      <w:r>
        <w:rPr>
          <w:rFonts w:ascii="Times New Roman" w:hAnsi="Times New Roman"/>
          <w:b/>
          <w:i w:val="false"/>
          <w:color w:val="000000"/>
          <w:sz w:val="22"/>
        </w:rPr>
        <w:t xml:space="preserve">(100C) </w:t>
      </w:r>
      <w:r>
        <w:rPr>
          <w:rFonts w:ascii="Times New Roman" w:hAnsi="Times New Roman"/>
          <w:b/>
          <w:i w:val="false"/>
          <w:color w:val="000000"/>
          <w:sz w:val="22"/>
        </w:rPr>
        <w:t xml:space="preserve">Responsible managing employee. </w:t>
      </w:r>
      <w:r>
        <w:rPr>
          <w:rFonts w:ascii="Times New Roman" w:hAnsi="Times New Roman"/>
          <w:b w:val="false"/>
          <w:i w:val="false"/>
          <w:color w:val="000000"/>
          <w:sz w:val="22"/>
        </w:rPr>
        <w:t xml:space="preserve">Each fire extinguishing system contractor shall designate a responsible managing employee and may designate one or more alternate responsible managing employees. A contractor may designate more than one responsible managing employee in order to satisfy the requirements for more than one endorsement as provided in subrule </w:t>
      </w:r>
      <w:hyperlink r:id="rId16">
        <w:r>
          <w:rPr>
            <w:rStyle w:val="Hyperlink"/>
            <w:rFonts w:ascii="Times New Roman" w:hAnsi="Times New Roman"/>
            <w:b w:val="false"/>
            <w:i w:val="false"/>
            <w:color w:val="000000"/>
            <w:sz w:val="22"/>
          </w:rPr>
          <w:t>265.1(2)</w:t>
        </w:r>
      </w:hyperlink>
      <w:r>
        <w:rPr>
          <w:rFonts w:ascii="Times New Roman" w:hAnsi="Times New Roman"/>
          <w:b w:val="false"/>
          <w:i w:val="false"/>
          <w:color w:val="000000"/>
          <w:sz w:val="22"/>
        </w:rPr>
        <w:t>. If more than one responsible managing employee is designated, the contractor will indicate for which responsible managing employee each designated alternate managing employee serves as an alternate.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265.3(1)</w:t>
      </w:r>
      <w:r>
        <w:rPr>
          <w:rFonts w:ascii="Times New Roman" w:hAnsi="Times New Roman"/>
          <w:b w:val="false"/>
          <w:i w:val="false"/>
          <w:color w:val="000000"/>
          <w:sz w:val="22"/>
        </w:rPr>
        <w:t> </w:t>
      </w:r>
      <w:r>
        <w:rPr>
          <w:rFonts w:ascii="Times New Roman" w:hAnsi="Times New Roman"/>
          <w:b w:val="false"/>
          <w:i w:val="false"/>
          <w:color w:val="000000"/>
          <w:sz w:val="22"/>
        </w:rPr>
        <w:t>The responsible managing employee or employees shall be designated in the application for licensure, and, if a responsible managing employee is no longer acting in that role, the contractor shall so notify the department, in writing, within 30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265.3(2)</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is no longer acting in that role and the contractor has designated an alternate responsible managing employee, the alternate responsible managing employee will become the responsible managing employee and the contractor shall so notify the department, in writing, within 30 calendar days of the date on which the preceding responsible managing employee ceased to act in that role. If the contractor has designated more than one alternate responsible managing employee, the notice to the department will indicate which alternate responsible managing employee has assumed the position of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265.3(3)</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designated by a fire extinguishing system contractor is no longer acting in the role of responsible managing employee and the contractor has not designated an alternate responsible managing employee, the contractor shall designate a new responsible managing employee and shall notify the department, in writing, of the designation within six months of the date on which the former responsible managing employee ceased to act in that capacity. If the department has not been notified of the appointment of a new responsible managing employee within six months of the date on which a responsible managing employee ceased serving in that capacity, the department shall suspend the license of the fire protection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265.3(4)</w:t>
      </w:r>
      <w:r>
        <w:rPr>
          <w:rFonts w:ascii="Times New Roman" w:hAnsi="Times New Roman"/>
          <w:b w:val="false"/>
          <w:i w:val="false"/>
          <w:color w:val="000000"/>
          <w:sz w:val="22"/>
        </w:rPr>
        <w:t> </w:t>
      </w:r>
      <w:r>
        <w:rPr>
          <w:rFonts w:ascii="Times New Roman" w:hAnsi="Times New Roman"/>
          <w:b w:val="false"/>
          <w:i w:val="false"/>
          <w:color w:val="000000"/>
          <w:sz w:val="22"/>
        </w:rPr>
        <w:t>Training requirements. A responsible managing employee or an alternate responsible managing employee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fire extinguishing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III or above in water-based systems layout.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fire extinguishing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III or above in special hazard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Association of Fire Equipment Distributors (NAFED) in preengineered kitchen fire suppression systems, preengineered industrial fire suppression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contractor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contractor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from the NICET at level II in water-based system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NAFED in preengineered kitchen fire suppression systems, preengineered industrial fire suppression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maintenance and inspection of any system the contractor inspects.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maintenance and inspection of any system the contractor inspects.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265.3(5)</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or testing approval. Satisfactory completion of an applicable training or testing program that has been approved by the department may replace any of the endorsement requirements of subrule </w:t>
      </w:r>
      <w:hyperlink r:id="rId17">
        <w:r>
          <w:rPr>
            <w:rStyle w:val="Hyperlink"/>
            <w:rFonts w:ascii="Times New Roman" w:hAnsi="Times New Roman"/>
            <w:b w:val="false"/>
            <w:i w:val="false"/>
            <w:color w:val="000000"/>
            <w:sz w:val="22"/>
          </w:rPr>
          <w:t>265.3(4)</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will apply to the department no later than July 1 every odd-numbered year. Program information and any other documentation requested by the department for consideration shall be submitted to the department. Training and testing approved by the department is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265.3(6)</w:t>
      </w:r>
      <w:r>
        <w:rPr>
          <w:rFonts w:ascii="Times New Roman" w:hAnsi="Times New Roman"/>
          <w:b w:val="false"/>
          <w:i w:val="false"/>
          <w:color w:val="000000"/>
          <w:sz w:val="22"/>
        </w:rPr>
        <w:t> </w:t>
      </w:r>
      <w:r>
        <w:rPr>
          <w:rFonts w:ascii="Times New Roman" w:hAnsi="Times New Roman"/>
          <w:b w:val="false"/>
          <w:i w:val="false"/>
          <w:color w:val="000000"/>
          <w:sz w:val="22"/>
        </w:rPr>
        <w:t>License applicability. Work performed by a contractor subject to these rules shall be limited to areas of competence indicated by the specific certification or other training requirements met by the responsible managing employee.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265.3(7)</w:t>
      </w:r>
      <w:r>
        <w:rPr>
          <w:rFonts w:ascii="Times New Roman" w:hAnsi="Times New Roman"/>
          <w:b w:val="false"/>
          <w:i w:val="false"/>
          <w:color w:val="000000"/>
          <w:sz w:val="22"/>
        </w:rPr>
        <w:t> </w:t>
      </w:r>
      <w:r>
        <w:rPr>
          <w:rFonts w:ascii="Times New Roman" w:hAnsi="Times New Roman"/>
          <w:b w:val="false"/>
          <w:i w:val="false"/>
          <w:color w:val="000000"/>
          <w:sz w:val="22"/>
        </w:rPr>
        <w:t>Portable fire extinguisher requirements. Nothing in this rule shall be interpreted to conflict with or diminish any requirement for training or certification for anyone installing or servicing a fire extinguishing system or portable fire extinguisher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265.3(8)</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of persons licensed in other jurisdictions. A fire protection system contractor license may be issued without examination to a person licensed in other jurisdictions if the conditions of Iowa Code section </w:t>
      </w:r>
      <w:hyperlink r:id="rId18">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481—265.4</w:t>
      </w:r>
      <w:r>
        <w:rPr>
          <w:rFonts w:ascii="Times New Roman" w:hAnsi="Times New Roman"/>
          <w:b/>
          <w:i w:val="false"/>
          <w:color w:val="000000"/>
          <w:sz w:val="22"/>
        </w:rPr>
        <w:t xml:space="preserve">(100C) </w:t>
      </w:r>
      <w:r>
        <w:rPr>
          <w:rFonts w:ascii="Times New Roman" w:hAnsi="Times New Roman"/>
          <w:b/>
          <w:i w:val="false"/>
          <w:color w:val="000000"/>
          <w:sz w:val="22"/>
        </w:rPr>
        <w:t xml:space="preserve">License requirements. </w:t>
      </w:r>
      <w:r>
        <w:rPr>
          <w:rFonts w:ascii="Times New Roman" w:hAnsi="Times New Roman"/>
          <w:b w:val="false"/>
          <w:i w:val="false"/>
          <w:color w:val="000000"/>
          <w:sz w:val="22"/>
        </w:rPr>
        <w:t>A fire extinguishing system contractor shall meet all of the following requirements in order to receive licensure from the department and continue to meet all requirements throughout the period of licensure. The contractor shall notify the department, in writing, within 30 calendar days if the contractor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designate one or more responsible managing employees as provided in rule </w:t>
      </w:r>
      <w:hyperlink r:id="rId19">
        <w:r>
          <w:rPr>
            <w:rStyle w:val="Hyperlink"/>
            <w:rFonts w:ascii="Times New Roman" w:hAnsi="Times New Roman"/>
            <w:b w:val="false"/>
            <w:i w:val="false"/>
            <w:color w:val="000000"/>
            <w:sz w:val="22"/>
          </w:rPr>
          <w:t>481—265.3</w:t>
        </w:r>
      </w:hyperlink>
      <w:r>
        <w:rPr>
          <w:rFonts w:ascii="Times New Roman" w:hAnsi="Times New Roman"/>
          <w:b w:val="false"/>
          <w:i w:val="false"/>
          <w:color w:val="000000"/>
          <w:sz w:val="22"/>
        </w:rPr>
        <w:t>(100C).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265.4(2)</w:t>
      </w:r>
      <w:r>
        <w:rPr>
          <w:rFonts w:ascii="Times New Roman" w:hAnsi="Times New Roman"/>
          <w:b w:val="false"/>
          <w:i w:val="false"/>
          <w:color w:val="000000"/>
          <w:sz w:val="22"/>
        </w:rPr>
        <w:t> </w:t>
      </w:r>
      <w:r>
        <w:rPr>
          <w:rFonts w:ascii="Times New Roman" w:hAnsi="Times New Roman"/>
          <w:b w:val="false"/>
          <w:i w:val="false"/>
          <w:color w:val="000000"/>
          <w:sz w:val="22"/>
        </w:rPr>
        <w:t>The contractor shall maintain general and complete operations liability insurance for the layout, installation, repair, alteration, addition, maintenance, and inspection of automatic fire extinguishing systems in the following amounts: $500,000 per person, $1,000,000 per occurrence, and $1,000,000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to meet this requirement shall notify the department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contractor shall cease operation immediately if the insurance coverage required by this subrule is no longer in force and other insurance coverage meeting the requirements of this subrule is not in force. A contractor shall not initiate any installation of a fire extinguishing system that cannot reasonably be expected to be completed prior to the effective date of the cancellation of the insurance coverage required by this subrule and of which the contractor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maintain current registration as a contractor with the labor services division of the Iowa workforce development department in compliance with Iowa Code chapter </w:t>
      </w:r>
      <w:hyperlink r:id="rId20">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481—Chapter 465</w:t>
        </w:r>
      </w:hyperlink>
      <w:r>
        <w:rPr>
          <w:rFonts w:ascii="Times New Roman" w:hAnsi="Times New Roman"/>
          <w:b w:val="false"/>
          <w:i w:val="false"/>
          <w:color w:val="000000"/>
          <w:sz w:val="22"/>
        </w:rPr>
        <w:t>. The contractor shall provide a copy of the contractor’s current registration from the Iowa workforce development department with the contractor’s application for licensure.</w:t>
      </w:r>
    </w:p>
    <w:p>
      <w:pPr>
        <w:spacing w:before="0" w:after="0"/>
        <w:ind w:left="120"/>
        <w:jc w:val="both"/>
      </w:pPr>
      <w:r>
        <w:rPr>
          <w:rFonts w:ascii="Times New Roman" w:hAnsi="Times New Roman"/>
          <w:b w:val="false"/>
          <w:i w:val="false"/>
          <w:color w:val="000000"/>
          <w:sz w:val="22"/>
        </w:rPr>
        <w:t>E</w:t>
      </w:r>
      <w:r>
        <w:rPr>
          <w:rFonts w:ascii="Times New Roman" w:hAnsi="Times New Roman"/>
          <w:b w:val="false"/>
          <w:i w:val="false"/>
          <w:color w:val="000000"/>
          <w:sz w:val="22"/>
        </w:rPr>
        <w:t>XCEPTION</w:t>
      </w:r>
      <w:r>
        <w:rPr>
          <w:rFonts w:ascii="Times New Roman" w:hAnsi="Times New Roman"/>
          <w:b w:val="false"/>
          <w:i w:val="false"/>
          <w:color w:val="000000"/>
          <w:sz w:val="22"/>
        </w:rPr>
        <w:t xml:space="preserve">: A contractor will not be required to maintain registration with the labor services division of the Iowa workforce development department if the contractor does not meet the definition of “contractor” for purposes of Iowa Code chapter </w:t>
      </w:r>
      <w:hyperlink r:id="rId22">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481—Chapter 465. Written documentation of such exemption must be provided to the department at the time of application for licensure as a fire protection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265.4(4)</w:t>
      </w:r>
      <w:r>
        <w:rPr>
          <w:rFonts w:ascii="Times New Roman" w:hAnsi="Times New Roman"/>
          <w:b w:val="false"/>
          <w:i w:val="false"/>
          <w:color w:val="000000"/>
          <w:sz w:val="22"/>
        </w:rPr>
        <w:t> </w:t>
      </w:r>
      <w:r>
        <w:rPr>
          <w:rFonts w:ascii="Times New Roman" w:hAnsi="Times New Roman"/>
          <w:b w:val="false"/>
          <w:i w:val="false"/>
          <w:color w:val="000000"/>
          <w:sz w:val="22"/>
        </w:rPr>
        <w:t>The contractor shall maintain compliance with all other applicable provisions of law related to operation in the state of Iowa and of any political subdivision in which the contractor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265.4(5)</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endorsements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265.4(6)</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while serving honorably on federal active duty, state active duty, or national guard duty, as defined in Iowa Code section </w:t>
      </w:r>
      <w:hyperlink r:id="rId23">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applying for licensure as a fire protection system contractor shall apply for licensure following </w:t>
      </w:r>
      <w:hyperlink r:id="rId24">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481—265.5</w:t>
      </w:r>
      <w:r>
        <w:rPr>
          <w:rFonts w:ascii="Times New Roman" w:hAnsi="Times New Roman"/>
          <w:b/>
          <w:i w:val="false"/>
          <w:color w:val="000000"/>
          <w:sz w:val="22"/>
        </w:rPr>
        <w:t xml:space="preserve">(100C) </w:t>
      </w:r>
      <w:r>
        <w:rPr>
          <w:rFonts w:ascii="Times New Roman" w:hAnsi="Times New Roman"/>
          <w:b/>
          <w:i w:val="false"/>
          <w:color w:val="000000"/>
          <w:sz w:val="22"/>
        </w:rPr>
        <w:t xml:space="preserve">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contractor seeking licensure as a fire protection system contractor shall submit a completed application form to the department. The application shall be filed no later than 30 days prior to the date of beginning work in this state or the date on which an existing license expires. An application form may be obtained from the department or the department’s website. The application form shall be submitted with all required attachments and the required application fee.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265.5(2)</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 is $500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application for licensure provides for more than one responsible managing employee pursuant to rule </w:t>
      </w:r>
      <w:hyperlink r:id="rId25">
        <w:r>
          <w:rPr>
            <w:rStyle w:val="Hyperlink"/>
            <w:rFonts w:ascii="Times New Roman" w:hAnsi="Times New Roman"/>
            <w:b w:val="false"/>
            <w:i w:val="false"/>
            <w:color w:val="000000"/>
            <w:sz w:val="22"/>
          </w:rPr>
          <w:t>481—265.3</w:t>
        </w:r>
      </w:hyperlink>
      <w:r>
        <w:rPr>
          <w:rFonts w:ascii="Times New Roman" w:hAnsi="Times New Roman"/>
          <w:b w:val="false"/>
          <w:i w:val="false"/>
          <w:color w:val="000000"/>
          <w:sz w:val="22"/>
        </w:rPr>
        <w:t xml:space="preserve">(100C), there will be an additional fee of $50 for each responsible managing employee beyond the first. If an application for licensure provides for more than one endorsement as provided in subrule </w:t>
      </w:r>
      <w:hyperlink r:id="rId26">
        <w:r>
          <w:rPr>
            <w:rStyle w:val="Hyperlink"/>
            <w:rFonts w:ascii="Times New Roman" w:hAnsi="Times New Roman"/>
            <w:b w:val="false"/>
            <w:i w:val="false"/>
            <w:color w:val="000000"/>
            <w:sz w:val="22"/>
          </w:rPr>
          <w:t>265.1(2)</w:t>
        </w:r>
      </w:hyperlink>
      <w:r>
        <w:rPr>
          <w:rFonts w:ascii="Times New Roman" w:hAnsi="Times New Roman"/>
          <w:b w:val="false"/>
          <w:i w:val="false"/>
          <w:color w:val="000000"/>
          <w:sz w:val="22"/>
        </w:rPr>
        <w:t>, there will be an additional fee of $50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or responsible managing employee(s), if applicable. The fee shall be submitted with the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contractor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the designation of a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insurance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in the address of the business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licensure are outlined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481—265.6</w:t>
      </w:r>
      <w:r>
        <w:rPr>
          <w:rFonts w:ascii="Times New Roman" w:hAnsi="Times New Roman"/>
          <w:b/>
          <w:i w:val="false"/>
          <w:color w:val="000000"/>
          <w:sz w:val="22"/>
        </w:rPr>
        <w:t xml:space="preserve">(100C)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failure of a licensed contractor to meet any of the requirements established in Iowa Code chapter </w:t>
      </w:r>
      <w:hyperlink r:id="rId27">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this chapter or any other provision of law, or operation as a fire extinguishing system contractor without licensure may be filed with the department. Complaints should be as specific as possible and clearly identify the contractor against whom the complaint is filed. Complaints should be submitted in writing to the department as indicated on the department’s website. A complaint may be submitted anonymously, but if the name and contact information of the complainant are provided, the complainant will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481—265.7</w:t>
      </w:r>
      <w:r>
        <w:rPr>
          <w:rFonts w:ascii="Times New Roman" w:hAnsi="Times New Roman"/>
          <w:b/>
          <w:i w:val="false"/>
          <w:color w:val="000000"/>
          <w:sz w:val="22"/>
        </w:rPr>
        <w:t xml:space="preserve">(100C) </w:t>
      </w:r>
      <w:r>
        <w:rPr>
          <w:rFonts w:ascii="Times New Roman" w:hAnsi="Times New Roman"/>
          <w:b/>
          <w:i w:val="false"/>
          <w:color w:val="000000"/>
          <w:sz w:val="22"/>
        </w:rPr>
        <w:t xml:space="preserve">Denial, suspension, or revocation of licensure; civil penalties; and appeals. </w:t>
      </w:r>
      <w:r>
        <w:rPr>
          <w:rFonts w:ascii="Times New Roman" w:hAnsi="Times New Roman"/>
          <w:b w:val="false"/>
          <w:i w:val="false"/>
          <w:color w:val="000000"/>
          <w:sz w:val="22"/>
        </w:rPr>
        <w:t>The department may deny, suspend, or revoke the license of a contractor, or assess a civil penalty to the contractor, if any provision of these rules or any other provision of law related to operation as a fire extinguishing system contractor is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 for reasons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acting as a fire extinguishing system contractor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 fire extinguishing system contractor and if the basis of that action reflects upon the integrity of the applicant in operating as a fire extinguishing system contractor. If an applicant is found to have been previously barred for cause from operating as a fire extinguishing system contractor in another jurisdiction and is no longer barred from doing so, the department will evaluate the record of that action with regard to the likelihood that the applicant would operate with integrity as a licensed contractor.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28">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for a failure to meet any legal requirement to operate as a fire extinguishing system contractor in this state. Failure to provide any notice to the department as provided in these rules will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revocation is a termination of a license. A license may be revoked by the department for repeated violations or for a violation that creates an imminent danger to the safety or health of individuals protected by a fire extinguishing system incorrectly installed by a licensed contractor or when information comes to the attention of the department which, if known to the department when the application was being considered, would have resulted in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for licensure from a contractor whose license had previously been revoked will not be considered for a period of one year after the effective date of the revocation and, in any event, until every condition that was a basis for the revocation has been corrected. The department may specify in the revocation order a longer period than one year before a new application for licensure may be considered. When a new application for licensure from a contractor whose license was previously revoked is being considered, the applicant may be denied licensure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2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denial, suspension, or revocation of a license, or any civil penalty imposed upon a licensed contractor under this rule may be appealed by the contractor within 14 days of receipt of the notice by submitting a written request for a contested case appeal to the department. An appeal is subject to the provisions of </w:t>
      </w:r>
      <w:hyperlink r:id="rId3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5/5/06, Notice 3/29/06—published 5/24/06, effective 7/1/06]</w:t>
      </w:r>
    </w:p>
    <w:p>
      <w:pPr>
        <w:spacing w:before="0" w:after="0"/>
        <w:ind w:left="120"/>
        <w:jc w:val="center"/>
      </w:pPr>
      <w:r>
        <w:rPr>
          <w:rFonts w:ascii="Times New Roman" w:hAnsi="Times New Roman"/>
          <w:b w:val="false"/>
          <w:i w:val="false"/>
          <w:color w:val="000000"/>
          <w:sz w:val="21"/>
        </w:rPr>
        <w:t>[Filed emergency 9/20/06—published 10/11/06, effective 10/1/06]</w:t>
      </w:r>
    </w:p>
    <w:p>
      <w:pPr>
        <w:spacing w:before="0" w:after="0"/>
        <w:ind w:left="120"/>
        <w:jc w:val="center"/>
      </w:pPr>
      <w:r>
        <w:rPr>
          <w:rFonts w:ascii="Times New Roman" w:hAnsi="Times New Roman"/>
          <w:b w:val="false"/>
          <w:i w:val="false"/>
          <w:color w:val="000000"/>
          <w:sz w:val="21"/>
        </w:rPr>
        <w:t>[Filed emergency 3/22/07—published 4/11/07, effective 4/1/07]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7873C</w:t>
      </w:r>
      <w:r>
        <w:rPr>
          <w:rFonts w:ascii="Times New Roman" w:hAnsi="Times New Roman"/>
          <w:b w:val="false"/>
          <w:i w:val="false"/>
          <w:color w:val="000000"/>
          <w:sz w:val="21"/>
        </w:rPr>
        <w:t xml:space="preserve"> (Notice ARC 7334C,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[Editorial change: IAC Supplement 8/5/26]</w:t>
      </w:r>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C.pdf" Type="http://schemas.openxmlformats.org/officeDocument/2006/relationships/hyperlink" Id="rId5"/>
    <Relationship TargetMode="External" Target="https://www.legis.iowa.gov/docs/ico/chapter/100C.1.pdf" Type="http://schemas.openxmlformats.org/officeDocument/2006/relationships/hyperlink" Id="rId6"/>
    <Relationship TargetMode="External" Target="https://www.legis.iowa.gov/docs/ico/chapter/100C.1.pdf" Type="http://schemas.openxmlformats.org/officeDocument/2006/relationships/hyperlink" Id="rId7"/>
    <Relationship TargetMode="External" Target="https://www.legis.iowa.gov/docs/ico/chapter/100C.1.pdf" Type="http://schemas.openxmlformats.org/officeDocument/2006/relationships/hyperlink" Id="rId8"/>
    <Relationship TargetMode="External" Target="https://www.legis.iowa.gov/docs/ico/chapter/100C.1.pdf" Type="http://schemas.openxmlformats.org/officeDocument/2006/relationships/hyperlink" Id="rId9"/>
    <Relationship TargetMode="External" Target="https://www.legis.iowa.gov/docs/ico/chapter/100C.1.pdf" Type="http://schemas.openxmlformats.org/officeDocument/2006/relationships/hyperlink" Id="rId10"/>
    <Relationship TargetMode="External" Target="https://www.legis.iowa.gov/docs/ico/chapter/100C.1.pdf" Type="http://schemas.openxmlformats.org/officeDocument/2006/relationships/hyperlink" Id="rId11"/>
    <Relationship TargetMode="External" Target="https://www.legis.iowa.gov/docs/ico/chapter/100C.1.pdf" Type="http://schemas.openxmlformats.org/officeDocument/2006/relationships/hyperlink" Id="rId12"/>
    <Relationship TargetMode="External" Target="https://www.legis.iowa.gov/docs/ico/chapter/100C.1.pdf" Type="http://schemas.openxmlformats.org/officeDocument/2006/relationships/hyperlink" Id="rId13"/>
    <Relationship TargetMode="External" Target="https://www.legis.iowa.gov/docs/ico/chapter/100C.1.pdf" Type="http://schemas.openxmlformats.org/officeDocument/2006/relationships/hyperlink" Id="rId14"/>
    <Relationship TargetMode="External" Target="https://www.legis.iowa.gov/docs/ico/chapter/100C.1.pdf" Type="http://schemas.openxmlformats.org/officeDocument/2006/relationships/hyperlink" Id="rId15"/>
    <Relationship TargetMode="External" Target="https://www.legis.iowa.gov/docs/iac/rule/481.265.1.pdf" Type="http://schemas.openxmlformats.org/officeDocument/2006/relationships/hyperlink" Id="rId16"/>
    <Relationship TargetMode="External" Target="https://www.legis.iowa.gov/docs/iac/rule/481.265.3.pdf" Type="http://schemas.openxmlformats.org/officeDocument/2006/relationships/hyperlink" Id="rId17"/>
    <Relationship TargetMode="External" Target="https://www.legis.iowa.gov/docs/ico/chapter/272C.12.pdf" Type="http://schemas.openxmlformats.org/officeDocument/2006/relationships/hyperlink" Id="rId18"/>
    <Relationship TargetMode="External" Target="https://www.legis.iowa.gov/docs/iac/rule/481.265.3.pdf" Type="http://schemas.openxmlformats.org/officeDocument/2006/relationships/hyperlink" Id="rId19"/>
    <Relationship TargetMode="External" Target="https://www.legis.iowa.gov/docs/ico/chapter/91C.pdf" Type="http://schemas.openxmlformats.org/officeDocument/2006/relationships/hyperlink" Id="rId20"/>
    <Relationship TargetMode="External" Target="https://www.legis.iowa.gov/docs/iac/chapter/481.465.pdf" Type="http://schemas.openxmlformats.org/officeDocument/2006/relationships/hyperlink" Id="rId21"/>
    <Relationship TargetMode="External" Target="https://www.legis.iowa.gov/docs/ico/chapter/91C.pdf" Type="http://schemas.openxmlformats.org/officeDocument/2006/relationships/hyperlink" Id="rId22"/>
    <Relationship TargetMode="External" Target="https://www.legis.iowa.gov/docs/ico/chapter/29A.1.pdf" Type="http://schemas.openxmlformats.org/officeDocument/2006/relationships/hyperlink" Id="rId23"/>
    <Relationship TargetMode="External" Target="https://www.legis.iowa.gov/docs/iac/chapter/481.7.pdf" Type="http://schemas.openxmlformats.org/officeDocument/2006/relationships/hyperlink" Id="rId24"/>
    <Relationship TargetMode="External" Target="https://www.legis.iowa.gov/docs/iac/rule/481.265.3.pdf" Type="http://schemas.openxmlformats.org/officeDocument/2006/relationships/hyperlink" Id="rId25"/>
    <Relationship TargetMode="External" Target="https://www.legis.iowa.gov/docs/iac/rule/481.265.1.pdf" Type="http://schemas.openxmlformats.org/officeDocument/2006/relationships/hyperlink" Id="rId26"/>
    <Relationship TargetMode="External" Target="https://www.legis.iowa.gov/docs/ico/chapter/100C.pdf" Type="http://schemas.openxmlformats.org/officeDocument/2006/relationships/hyperlink" Id="rId27"/>
    <Relationship TargetMode="External" Target="https://www.legis.iowa.gov/docs/ico/chapter/100C.pdf" Type="http://schemas.openxmlformats.org/officeDocument/2006/relationships/hyperlink" Id="rId28"/>
    <Relationship TargetMode="External" Target="https://www.legis.iowa.gov/docs/ico/chapter/272C.15.pdf" Type="http://schemas.openxmlformats.org/officeDocument/2006/relationships/hyperlink" Id="rId29"/>
    <Relationship TargetMode="External" Target="https://www.legis.iowa.gov/docs/iac/chapter/7.2506.pdf" Type="http://schemas.openxmlformats.org/officeDocument/2006/relationships/hyperlink" Id="rId30"/>
    <Relationship TargetMode="External" Target="https://www.legis.iowa.gov/docs/iac/chapter/481.10.pdf" Type="http://schemas.openxmlformats.org/officeDocument/2006/relationships/hyperlink" Id="rId31"/>
    <Relationship TargetMode="External" Target="https://www.legis.iowa.gov/docs/ico/chapter/100C.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