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236</w:t>
      </w:r>
    </w:p>
    <w:p>
      <w:pPr>
        <w:spacing w:before="0" w:after="0"/>
        <w:ind w:left="120"/>
        <w:jc w:val="center"/>
      </w:pPr>
      <w:r>
        <w:rPr>
          <w:rFonts w:ascii="Times New Roman" w:hAnsi="Times New Roman"/>
          <w:b w:val="false"/>
          <w:i w:val="false"/>
          <w:color w:val="000000"/>
          <w:sz w:val="21"/>
        </w:rPr>
        <w:t>WAGE DISCRIMINATION</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36]</w:t>
      </w:r>
    </w:p>
    <w:p>
      <w:pPr>
        <w:spacing w:before="0" w:after="0"/>
        <w:ind w:left="120"/>
        <w:jc w:val="center"/>
      </w:pPr>
      <w:r>
        <w:rPr>
          <w:rFonts w:ascii="Times New Roman" w:hAnsi="Times New Roman"/>
          <w:b w:val="false"/>
          <w:i w:val="false"/>
          <w:color w:val="000000"/>
          <w:sz w:val="20"/>
        </w:rPr>
        <w:t>[Prior to 7/9/25, see Labor Services Division[875] Ch 36]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481—236.1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481—236.2</w:t>
      </w:r>
      <w:r>
        <w:rPr>
          <w:rFonts w:ascii="Times New Roman" w:hAnsi="Times New Roman"/>
          <w:b/>
          <w:i w:val="false"/>
          <w:color w:val="000000"/>
          <w:sz w:val="22"/>
        </w:rPr>
        <w:t xml:space="preserve">(91A)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An employer shall not discharge or in any manner discriminate against any employee because the employee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Filed any complaint under or related to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Assigned a wage claim to the director;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Instituted or caused to be instituted any proceeding under or related to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Cooperated in bringing any action against an employer under or related to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Exercised on the employee’s behalf or on behalf of others any right afforded by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481—236.3</w:t>
      </w:r>
      <w:r>
        <w:rPr>
          <w:rFonts w:ascii="Times New Roman" w:hAnsi="Times New Roman"/>
          <w:b/>
          <w:i w:val="false"/>
          <w:color w:val="000000"/>
          <w:sz w:val="22"/>
        </w:rPr>
        <w:t xml:space="preserve">(91A)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236.3(1)</w:t>
      </w:r>
      <w:r>
        <w:rPr>
          <w:rFonts w:ascii="Times New Roman" w:hAnsi="Times New Roman"/>
          <w:b w:val="false"/>
          <w:i w:val="false"/>
          <w:color w:val="000000"/>
          <w:sz w:val="22"/>
        </w:rPr>
        <w:t> </w:t>
      </w:r>
      <w:r>
        <w:rPr>
          <w:rFonts w:ascii="Times New Roman" w:hAnsi="Times New Roman"/>
          <w:b w:val="false"/>
          <w:i w:val="false"/>
          <w:color w:val="000000"/>
          <w:sz w:val="22"/>
        </w:rPr>
        <w:t>Wage discrimination occurs when an employer engages in adverse action because the employee engaged in a protected activity. An employee’s engagement in activities protected by the Act does not automatically render the employee immune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236.3(2)</w:t>
      </w:r>
      <w:r>
        <w:rPr>
          <w:rFonts w:ascii="Times New Roman" w:hAnsi="Times New Roman"/>
          <w:b w:val="false"/>
          <w:i w:val="false"/>
          <w:color w:val="000000"/>
          <w:sz w:val="22"/>
        </w:rPr>
        <w:t> </w:t>
      </w:r>
      <w:r>
        <w:rPr>
          <w:rFonts w:ascii="Times New Roman" w:hAnsi="Times New Roman"/>
          <w:b w:val="false"/>
          <w:i w:val="false"/>
          <w:color w:val="000000"/>
          <w:sz w:val="22"/>
        </w:rPr>
        <w:t>A violation exists if the protected activity was a substantial reason for the action, or if the discharge or other adverse action would not have taken place “but for” engagement in the protected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481—236.4</w:t>
      </w:r>
      <w:r>
        <w:rPr>
          <w:rFonts w:ascii="Times New Roman" w:hAnsi="Times New Roman"/>
          <w:b/>
          <w:i w:val="false"/>
          <w:color w:val="000000"/>
          <w:sz w:val="22"/>
        </w:rPr>
        <w:t xml:space="preserve">(91A) </w:t>
      </w:r>
      <w:r>
        <w:rPr>
          <w:rFonts w:ascii="Times New Roman" w:hAnsi="Times New Roman"/>
          <w:b/>
          <w:i w:val="false"/>
          <w:color w:val="000000"/>
          <w:sz w:val="22"/>
        </w:rPr>
        <w:t xml:space="preserve">Complaint under or related to the Act. </w:t>
      </w:r>
      <w:r>
        <w:rPr>
          <w:rFonts w:ascii="Times New Roman" w:hAnsi="Times New Roman"/>
          <w:b w:val="false"/>
          <w:i w:val="false"/>
          <w:color w:val="000000"/>
          <w:sz w:val="22"/>
        </w:rPr>
        <w:t>Discharge or discriminatory actions to an employee because the employee has filed a wage claim or asserted in good faith rights covered by the Act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481—236.5</w:t>
      </w:r>
      <w:r>
        <w:rPr>
          <w:rFonts w:ascii="Times New Roman" w:hAnsi="Times New Roman"/>
          <w:b/>
          <w:i w:val="false"/>
          <w:color w:val="000000"/>
          <w:sz w:val="22"/>
        </w:rPr>
        <w:t xml:space="preserve">(91A) </w:t>
      </w:r>
      <w:r>
        <w:rPr>
          <w:rFonts w:ascii="Times New Roman" w:hAnsi="Times New Roman"/>
          <w:b/>
          <w:i w:val="false"/>
          <w:color w:val="000000"/>
          <w:sz w:val="22"/>
        </w:rPr>
        <w:t xml:space="preserve">Proceedings related to the Act. </w:t>
      </w:r>
      <w:r>
        <w:rPr>
          <w:rFonts w:ascii="Times New Roman" w:hAnsi="Times New Roman"/>
          <w:b w:val="false"/>
          <w:i w:val="false"/>
          <w:color w:val="000000"/>
          <w:sz w:val="22"/>
        </w:rPr>
        <w:t>Discharge of or discrimination against any employee because the employee has cooperated in bringing any action against an employer related to the Act is prohibited. Protection under the Act would extend to any statements given in the course of judicial, quasi-judicial, and administrative proceedings, including inspections, investigations, or adjudicative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481—236.6</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of complaint for discrimination or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discrimination in violation of Iowa Code section </w:t>
      </w:r>
      <w:hyperlink r:id="rId6">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occurred may, within 30 days after the violation occurs, lodge a complaint with the director alleging the violation. No particular form is required. If, as a result of the investigation, the director determines that Iowa Code section </w:t>
      </w:r>
      <w:hyperlink r:id="rId7">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been violated, civil action may be instituted in any appropriate district court to restrain the violations and to obtain other appropriate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481—236.7</w:t>
      </w:r>
      <w:r>
        <w:rPr>
          <w:rFonts w:ascii="Times New Roman" w:hAnsi="Times New Roman"/>
          <w:b/>
          <w:i w:val="false"/>
          <w:color w:val="000000"/>
          <w:sz w:val="22"/>
        </w:rPr>
        <w:t xml:space="preserve">(91A) </w:t>
      </w:r>
      <w:r>
        <w:rPr>
          <w:rFonts w:ascii="Times New Roman" w:hAnsi="Times New Roman"/>
          <w:b/>
          <w:i w:val="false"/>
          <w:color w:val="000000"/>
          <w:sz w:val="22"/>
        </w:rPr>
        <w:t xml:space="preserve">Decision of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236.7(1)</w:t>
      </w:r>
      <w:r>
        <w:rPr>
          <w:rFonts w:ascii="Times New Roman" w:hAnsi="Times New Roman"/>
          <w:b w:val="false"/>
          <w:i w:val="false"/>
          <w:color w:val="000000"/>
          <w:sz w:val="22"/>
        </w:rPr>
        <w:t> </w:t>
      </w:r>
      <w:r>
        <w:rPr>
          <w:rFonts w:ascii="Times New Roman" w:hAnsi="Times New Roman"/>
          <w:b w:val="false"/>
          <w:i w:val="false"/>
          <w:color w:val="000000"/>
          <w:sz w:val="22"/>
        </w:rPr>
        <w:t>Upon receipt of all requested information, the director may determine the employee’s complaint alleging discharge or discrimination is enforceable and notify the employee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236.7(2)</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enforceable, the director will notify the employer of that determination in writing and afford the employer an opportunity to tender settlement within 14 days of the writing prior to initiating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236.7(3)</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unenforceable, the director shall notify the employee of that decision in writing. The employee shall have 14 days from the date of the written notification to appeal the decision to the director. If the appeal is not made in writing within the 14-day period, then the employee loses the right to appeal the unenforceable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8/9/85, Notice 2/27/85—published 8/28/85, effective 10/2/85]</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ARC 8682C</w:t>
      </w:r>
      <w:r>
        <w:rPr>
          <w:rFonts w:ascii="Times New Roman" w:hAnsi="Times New Roman"/>
          <w:b w:val="false"/>
          <w:i w:val="false"/>
          <w:color w:val="000000"/>
          <w:sz w:val="21"/>
        </w:rPr>
        <w:t xml:space="preserve"> (Notice ARC 8265C,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7/9/25]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10.pdf" Type="http://schemas.openxmlformats.org/officeDocument/2006/relationships/hyperlink" Id="rId6"/>
    <Relationship TargetMode="External" Target="https://www.legis.iowa.gov/docs/ico/chapter/91A.10.pdf" Type="http://schemas.openxmlformats.org/officeDocument/2006/relationships/hyperlink" Id="rId7"/>
    <Relationship TargetMode="External" Target="https://www.legis.iowa.gov/docs/ico/chapter/91A.1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