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234</w:t>
      </w:r>
    </w:p>
    <w:p>
      <w:pPr>
        <w:spacing w:before="0" w:after="0"/>
        <w:ind w:left="120"/>
        <w:jc w:val="center"/>
      </w:pPr>
      <w:r>
        <w:rPr>
          <w:rFonts w:ascii="Times New Roman" w:hAnsi="Times New Roman"/>
          <w:b w:val="false"/>
          <w:i w:val="false"/>
          <w:color w:val="000000"/>
          <w:sz w:val="21"/>
        </w:rPr>
        <w:t>RECORDS TO BE KEPT BY EMPLOYERS</w:t>
      </w:r>
    </w:p>
    <w:p>
      <w:pPr>
        <w:spacing w:before="0" w:after="0"/>
        <w:ind w:left="120"/>
        <w:jc w:val="center"/>
      </w:pPr>
      <w:r>
        <w:rPr>
          <w:rFonts w:ascii="Times New Roman" w:hAnsi="Times New Roman"/>
          <w:b w:val="false"/>
          <w:i w:val="false"/>
          <w:color w:val="000000"/>
          <w:sz w:val="20"/>
        </w:rPr>
        <w:t>[Prior to 10/21/98, see 347—Ch 216]</w:t>
      </w:r>
    </w:p>
    <w:p>
      <w:pPr>
        <w:spacing w:before="0" w:after="0"/>
        <w:ind w:left="120"/>
        <w:jc w:val="center"/>
      </w:pPr>
      <w:r>
        <w:rPr>
          <w:rFonts w:ascii="Times New Roman" w:hAnsi="Times New Roman"/>
          <w:b w:val="false"/>
          <w:i w:val="false"/>
          <w:color w:val="000000"/>
          <w:sz w:val="20"/>
        </w:rPr>
        <w:t>[Prior to 7/9/25, see Labor Services Division[875] Ch 216]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481—234.1</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Employees subject to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234.1(1)</w:t>
      </w:r>
      <w:r>
        <w:rPr>
          <w:rFonts w:ascii="Times New Roman" w:hAnsi="Times New Roman"/>
          <w:b w:val="false"/>
          <w:i w:val="false"/>
          <w:color w:val="000000"/>
          <w:sz w:val="22"/>
        </w:rPr>
        <w:t> </w:t>
      </w:r>
      <w:r>
        <w:rPr>
          <w:rFonts w:ascii="Times New Roman" w:hAnsi="Times New Roman"/>
          <w:b w:val="false"/>
          <w:i/>
          <w:color w:val="000000"/>
          <w:sz w:val="22"/>
        </w:rPr>
        <w:t xml:space="preserve">Items required. </w:t>
      </w:r>
      <w:r>
        <w:rPr>
          <w:rFonts w:ascii="Times New Roman" w:hAnsi="Times New Roman"/>
          <w:b w:val="false"/>
          <w:i w:val="false"/>
          <w:color w:val="000000"/>
          <w:sz w:val="22"/>
        </w:rPr>
        <w:t>Every employer shall maintain and preserve payroll or other records containing the following information and data with respect to each employee to whom the Act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in full, as used for social security recordkeeping purposes, and on the same record, the employee’s identifying symbol or number if such is used in place of name on any time, work, or payroll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address, including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Basis of pay by indicating the monetary amount paid on a per hour, per day, per week, per piece, commission on sales, or other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and total hours worked each workweek (for purposes of this rule, a “workday” is any fixed period of 24 consecutive hours and a “workweek” is any fixed and regularly recurring period of seven consecutive workdays);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additions to or deductions from wages paid each pay period including employee purchase orders or wage assignments. Also, in individual employee records, the dates, amounts, and nature of the items that make up the total additions and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payment and the pay period covered by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481—234.2</w:t>
      </w:r>
      <w:r>
        <w:rPr>
          <w:rFonts w:ascii="Times New Roman" w:hAnsi="Times New Roman"/>
          <w:b/>
          <w:i w:val="false"/>
          <w:color w:val="000000"/>
          <w:sz w:val="22"/>
        </w:rPr>
        <w:t xml:space="preserve">(91D) </w:t>
      </w:r>
      <w:r>
        <w:rPr>
          <w:rFonts w:ascii="Times New Roman" w:hAnsi="Times New Roman"/>
          <w:b/>
          <w:i w:val="false"/>
          <w:color w:val="000000"/>
          <w:sz w:val="22"/>
        </w:rPr>
        <w:t xml:space="preserve">Exempt employees. </w:t>
      </w:r>
      <w:r>
        <w:rPr>
          <w:rFonts w:ascii="Times New Roman" w:hAnsi="Times New Roman"/>
          <w:b w:val="false"/>
          <w:i w:val="false"/>
          <w:color w:val="000000"/>
          <w:sz w:val="22"/>
        </w:rPr>
        <w:t xml:space="preserve">With respect to each exempt employee, employers shall maintain and preserve records containing all the information and data required by subrule </w:t>
      </w:r>
      <w:hyperlink r:id="rId5">
        <w:r>
          <w:rPr>
            <w:rStyle w:val="Hyperlink"/>
            <w:rFonts w:ascii="Times New Roman" w:hAnsi="Times New Roman"/>
            <w:b w:val="false"/>
            <w:i w:val="false"/>
            <w:color w:val="000000"/>
            <w:sz w:val="22"/>
          </w:rPr>
          <w:t>234.1(1)</w:t>
        </w:r>
      </w:hyperlink>
      <w:r>
        <w:rPr>
          <w:rFonts w:ascii="Times New Roman" w:hAnsi="Times New Roman"/>
          <w:b w:val="false"/>
          <w:i w:val="false"/>
          <w:color w:val="000000"/>
          <w:sz w:val="22"/>
        </w:rPr>
        <w:t xml:space="preserve">, except paragraphs </w:t>
      </w:r>
      <w:hyperlink r:id="rId6">
        <w:r>
          <w:rPr>
            <w:rStyle w:val="Hyperlink"/>
            <w:rFonts w:ascii="Times New Roman" w:hAnsi="Times New Roman"/>
            <w:b w:val="false"/>
            <w:i w:val="false"/>
            <w:color w:val="000000"/>
            <w:sz w:val="22"/>
          </w:rPr>
          <w:t>234.1(1)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in addition, the basis on which wages are paid in sufficient detail to permit calculation for each pay period of the employee’s total remuneration for employment, including fringe benefits and perquisites.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29 CFR 516.3.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481—234.3</w:t>
      </w:r>
      <w:r>
        <w:rPr>
          <w:rFonts w:ascii="Times New Roman" w:hAnsi="Times New Roman"/>
          <w:b/>
          <w:i w:val="false"/>
          <w:color w:val="000000"/>
          <w:sz w:val="22"/>
        </w:rPr>
        <w:t xml:space="preserve">(91D) </w:t>
      </w:r>
      <w:r>
        <w:rPr>
          <w:rFonts w:ascii="Times New Roman" w:hAnsi="Times New Roman"/>
          <w:b/>
          <w:i w:val="false"/>
          <w:color w:val="000000"/>
          <w:sz w:val="22"/>
        </w:rPr>
        <w:t xml:space="preserve">Posting of notices. </w:t>
      </w:r>
      <w:r>
        <w:rPr>
          <w:rFonts w:ascii="Times New Roman" w:hAnsi="Times New Roman"/>
          <w:b w:val="false"/>
          <w:i w:val="false"/>
          <w:color w:val="000000"/>
          <w:sz w:val="22"/>
        </w:rPr>
        <w:t>Every employer employing any employees subject to the minimum wage provisions of the Iowa minimum wage Act shall post and keep posted a notice explaining the Act, as prescribed by the director, in conspicuous places in every establishment where such employees are employed so as to permit them to readily observe a copy.</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481—234.4</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preserved three years. </w:t>
      </w:r>
      <w:r>
        <w:rPr>
          <w:rFonts w:ascii="Times New Roman" w:hAnsi="Times New Roman"/>
          <w:b w:val="false"/>
          <w:i w:val="false"/>
          <w:color w:val="000000"/>
          <w:sz w:val="22"/>
        </w:rPr>
        <w:t>Each employer shall preserve payroll records for at least three years from the last date of entry, all payroll or other records containing the employee information and data required under any of the applicable rules.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481—234.5</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preserved two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234.5(1)</w:t>
      </w:r>
      <w:r>
        <w:rPr>
          <w:rFonts w:ascii="Times New Roman" w:hAnsi="Times New Roman"/>
          <w:b w:val="false"/>
          <w:i w:val="false"/>
          <w:color w:val="000000"/>
          <w:sz w:val="22"/>
        </w:rPr>
        <w:t> </w:t>
      </w:r>
      <w:r>
        <w:rPr>
          <w:rFonts w:ascii="Times New Roman" w:hAnsi="Times New Roman"/>
          <w:b w:val="false"/>
          <w:i/>
          <w:color w:val="000000"/>
          <w:sz w:val="22"/>
        </w:rPr>
        <w:t xml:space="preserve">Supplementary basic records. </w:t>
      </w:r>
      <w:r>
        <w:rPr>
          <w:rFonts w:ascii="Times New Roman" w:hAnsi="Times New Roman"/>
          <w:b w:val="false"/>
          <w:i w:val="false"/>
          <w:color w:val="000000"/>
          <w:sz w:val="22"/>
        </w:rPr>
        <w:t>Each employer required to maintain records under this chapter shall preserve for a period of at least two years basic employment and earnings records. From the date of last entry, all basic time and earning cards or sheets on which are entered the daily starting and stopping time of individual employees, or of separate work forces, or the amounts of work accomplished by individual employees on a daily, weekly, or pay-period basis (for example, units produced) when those amounts determine, in whole or in part, the pay-period earnings or wages of those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Records of additions to or deductions from wages paid include those records relating to individual employees referred to in paragraph </w:t>
      </w:r>
      <w:hyperlink r:id="rId7">
        <w:r>
          <w:rPr>
            <w:rStyle w:val="Hyperlink"/>
            <w:rFonts w:ascii="Times New Roman" w:hAnsi="Times New Roman"/>
            <w:b w:val="false"/>
            <w:i w:val="false"/>
            <w:color w:val="000000"/>
            <w:sz w:val="22"/>
          </w:rPr>
          <w:t>234.1(1)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29 CFR 516.6.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481—234.6</w:t>
      </w:r>
      <w:r>
        <w:rPr>
          <w:rFonts w:ascii="Times New Roman" w:hAnsi="Times New Roman"/>
          <w:b/>
          <w:i w:val="false"/>
          <w:color w:val="000000"/>
          <w:sz w:val="22"/>
        </w:rPr>
        <w:t xml:space="preserve">(91D) </w:t>
      </w:r>
      <w:r>
        <w:rPr>
          <w:rFonts w:ascii="Times New Roman" w:hAnsi="Times New Roman"/>
          <w:b/>
          <w:i w:val="false"/>
          <w:color w:val="000000"/>
          <w:sz w:val="22"/>
        </w:rPr>
        <w:t xml:space="preserve">Tipped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each tipped employee whose wages are determined pursuant to the definition of “wage” in Iowa Code section </w:t>
      </w:r>
      <w:hyperlink r:id="rId8">
        <w:r>
          <w:rPr>
            <w:rStyle w:val="Hyperlink"/>
            <w:rFonts w:ascii="Times New Roman" w:hAnsi="Times New Roman"/>
            <w:b w:val="false"/>
            <w:i w:val="false"/>
            <w:color w:val="000000"/>
            <w:sz w:val="22"/>
          </w:rPr>
          <w:t>91D.1(1)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employer shall maintain and preserve payroll or other records containing all the information and data otherwise required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Weekly or monthly amount reported by the employee, to the employer, of tips received (this may consist of reports made by the employees to the employer on IRS Form 4070);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by which the wages of each tipped employee have been deemed to be increased by tips as determined by the employer (not in excess of 40 percent of the applicable statutory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in any occupation in which the employee does not receive tips, and total daily or weekly straight-time payment made by the employer for such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in occupations in which the employee receives tips, and total daily or weekly straight-time earnings for such hours.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234.6(2)</w:t>
      </w:r>
      <w:r>
        <w:rPr>
          <w:rFonts w:ascii="Times New Roman" w:hAnsi="Times New Roman"/>
          <w:b w:val="false"/>
          <w:i w:val="false"/>
          <w:color w:val="000000"/>
          <w:sz w:val="22"/>
        </w:rPr>
        <w:t> </w:t>
      </w:r>
      <w:r>
        <w:rPr>
          <w:rFonts w:ascii="Times New Roman" w:hAnsi="Times New Roman"/>
          <w:b w:val="false"/>
          <w:i w:val="false"/>
          <w:color w:val="000000"/>
          <w:sz w:val="22"/>
        </w:rPr>
        <w:t>Federal special minimum wage certificates will be honored at the applicable Iowa minimum wage rate as applied to the certificate.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481—234.7</w:t>
      </w:r>
      <w:r>
        <w:rPr>
          <w:rFonts w:ascii="Times New Roman" w:hAnsi="Times New Roman"/>
          <w:b/>
          <w:i w:val="false"/>
          <w:color w:val="000000"/>
          <w:sz w:val="22"/>
        </w:rPr>
        <w:t xml:space="preserve">(91D) </w:t>
      </w:r>
      <w:r>
        <w:rPr>
          <w:rFonts w:ascii="Times New Roman" w:hAnsi="Times New Roman"/>
          <w:b/>
          <w:i w:val="false"/>
          <w:color w:val="000000"/>
          <w:sz w:val="22"/>
        </w:rPr>
        <w:t xml:space="preserve">Industrial homeworkers.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homework,”</w:t>
      </w:r>
      <w:r>
        <w:rPr>
          <w:rFonts w:ascii="Times New Roman" w:hAnsi="Times New Roman"/>
          <w:b w:val="false"/>
          <w:i w:val="false"/>
          <w:color w:val="000000"/>
          <w:sz w:val="22"/>
        </w:rPr>
        <w:t> </w:t>
      </w:r>
      <w:r>
        <w:rPr>
          <w:rFonts w:ascii="Times New Roman" w:hAnsi="Times New Roman"/>
          <w:b w:val="false"/>
          <w:i w:val="false"/>
          <w:color w:val="000000"/>
          <w:sz w:val="22"/>
        </w:rPr>
        <w:t>as used in this rule, means the production by any person in or about a home, apartment, tenement, or room in a residential establishment of goods for an employer who suffers or permits production, regardless of the source (whether obtained from an employer or elsewhere) of the materials used by the homeworker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homeworker”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“homeworker,”</w:t>
      </w:r>
      <w:r>
        <w:rPr>
          <w:rFonts w:ascii="Times New Roman" w:hAnsi="Times New Roman"/>
          <w:b w:val="false"/>
          <w:i w:val="false"/>
          <w:color w:val="000000"/>
          <w:sz w:val="22"/>
        </w:rPr>
        <w:t> </w:t>
      </w:r>
      <w:r>
        <w:rPr>
          <w:rFonts w:ascii="Times New Roman" w:hAnsi="Times New Roman"/>
          <w:b w:val="false"/>
          <w:i w:val="false"/>
          <w:color w:val="000000"/>
          <w:sz w:val="22"/>
        </w:rPr>
        <w:t>as used in this rule, means any employee employed or suffered or permitted to perform industrial homework for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234.7(2)</w:t>
      </w:r>
      <w:r>
        <w:rPr>
          <w:rFonts w:ascii="Times New Roman" w:hAnsi="Times New Roman"/>
          <w:b w:val="false"/>
          <w:i w:val="false"/>
          <w:color w:val="000000"/>
          <w:sz w:val="22"/>
        </w:rPr>
        <w:t> </w:t>
      </w:r>
      <w:r>
        <w:rPr>
          <w:rFonts w:ascii="Times New Roman" w:hAnsi="Times New Roman"/>
          <w:b w:val="false"/>
          <w:i/>
          <w:color w:val="000000"/>
          <w:sz w:val="22"/>
        </w:rPr>
        <w:t xml:space="preserve">Items required. </w:t>
      </w:r>
      <w:r>
        <w:rPr>
          <w:rFonts w:ascii="Times New Roman" w:hAnsi="Times New Roman"/>
          <w:b w:val="false"/>
          <w:i w:val="false"/>
          <w:color w:val="000000"/>
          <w:sz w:val="22"/>
        </w:rPr>
        <w:t>Every employer shall maintain and preserve payroll or other records containing the following information and data with respect to every industrial homeworker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in full, and on the same record, the employee’s identifying symbol or number if used in place of name on any time, work, or payroll records. This shall be the same as that used for social security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 address, including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birth, if under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 respect to each lot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Piece rates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Hours worked on each lot of work turned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Wages paid for each lot of work turned 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wage payment and pay period covered by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respect to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Hours worked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earned for each week at regular piece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Extra pay due each week for overtime worked,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wages earned each week.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481—234.8</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Employees in agriculture. </w:t>
      </w:r>
      <w:r>
        <w:rPr>
          <w:rFonts w:ascii="Times New Roman" w:hAnsi="Times New Roman"/>
          <w:b w:val="false"/>
          <w:i w:val="false"/>
          <w:color w:val="000000"/>
          <w:sz w:val="22"/>
        </w:rPr>
        <w:t>No records need to be maintained by an employer who did not use more than 500 days of agricultural labor in any quarter of the preceding calendar year unless it can be reasonably anticipated that more than 500 days of agricultural labor will be used in at least one calendar quarter of the current calendar year. The 500-day test includes the work of agricultural workers supplied by crew leaders, or farm labor contractors, if the farmer is an employer of the workers, or a joint employer of the workers with the crew leader or farm labor contractor. However, members of the employer’s immediate family are not included. A “day” is any day during which an employee does agricultural work for one hour or more.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481—234.9</w:t>
      </w:r>
      <w:r>
        <w:rPr>
          <w:rFonts w:ascii="Times New Roman" w:hAnsi="Times New Roman"/>
          <w:b/>
          <w:i w:val="false"/>
          <w:color w:val="000000"/>
          <w:sz w:val="22"/>
        </w:rPr>
        <w:t xml:space="preserve">(91D) </w:t>
      </w:r>
      <w:r>
        <w:rPr>
          <w:rFonts w:ascii="Times New Roman" w:hAnsi="Times New Roman"/>
          <w:b/>
          <w:i w:val="false"/>
          <w:color w:val="000000"/>
          <w:sz w:val="22"/>
        </w:rPr>
        <w:t xml:space="preserve">Relationship to other recordkeeping and reporting requirements. </w:t>
      </w:r>
      <w:r>
        <w:rPr>
          <w:rFonts w:ascii="Times New Roman" w:hAnsi="Times New Roman"/>
          <w:b w:val="false"/>
          <w:i w:val="false"/>
          <w:color w:val="000000"/>
          <w:sz w:val="22"/>
        </w:rPr>
        <w:t>Nothing in this chapter shall excuse any party from complying with any recordkeeping or reporting requirement imposed by any other federal, state, or local law, ordinance, regulation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7/31/07, Notice 5/23/07—published 8/29/07, effective 10/3/07]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8748C</w:t>
      </w:r>
      <w:r>
        <w:rPr>
          <w:rFonts w:ascii="Times New Roman" w:hAnsi="Times New Roman"/>
          <w:b w:val="false"/>
          <w:i w:val="false"/>
          <w:color w:val="000000"/>
          <w:sz w:val="21"/>
        </w:rPr>
        <w:t xml:space="preserve"> (Notice ARC 8268C,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34.1.pdf" Type="http://schemas.openxmlformats.org/officeDocument/2006/relationships/hyperlink" Id="rId5"/>
    <Relationship TargetMode="External" Target="https://www.legis.iowa.gov/docs/iac/rule/481.234.1.pdf" Type="http://schemas.openxmlformats.org/officeDocument/2006/relationships/hyperlink" Id="rId6"/>
    <Relationship TargetMode="External" Target="https://www.legis.iowa.gov/docs/iac/rule/481.234.1.pdf" Type="http://schemas.openxmlformats.org/officeDocument/2006/relationships/hyperlink" Id="rId7"/>
    <Relationship TargetMode="External" Target="https://www.legis.iowa.gov/docs/ico/chapter/91D.1.pdf" Type="http://schemas.openxmlformats.org/officeDocument/2006/relationships/hyperlink" Id="rId8"/>
    <Relationship TargetMode="External" Target="https://www.legis.iowa.gov/docs/ico/chapter/91D.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