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2061</w:t>
      </w:r>
    </w:p>
    <w:p>
      <w:pPr>
        <w:spacing w:before="0" w:after="0"/>
        <w:ind w:left="120"/>
        <w:jc w:val="center"/>
      </w:pPr>
      <w:r>
        <w:rPr>
          <w:rFonts w:ascii="Times New Roman" w:hAnsi="Times New Roman"/>
          <w:b w:val="false"/>
          <w:i w:val="false"/>
          <w:color w:val="000000"/>
          <w:sz w:val="21"/>
        </w:rPr>
        <w:t>CONTINUING EDUCATION FOR HEARING AID SPECIALISTS</w:t>
      </w:r>
    </w:p>
    <w:p>
      <w:pPr>
        <w:spacing w:before="0" w:after="0"/>
        <w:ind w:left="120"/>
        <w:jc w:val="center"/>
      </w:pPr>
      <w:r>
        <w:rPr>
          <w:rFonts w:ascii="Times New Roman" w:hAnsi="Times New Roman"/>
          <w:b w:val="false"/>
          <w:i w:val="false"/>
          <w:color w:val="000000"/>
          <w:sz w:val="20"/>
        </w:rPr>
        <w:t>[Prior to 10/30/24, see Professional Licensure Division[645] Ch 122]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481—2061.1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means a subject/program/activity that a person pursues autonomously that meets standards for approval criteria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hearing aid specialist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481—2061.2</w:t>
      </w:r>
      <w:r>
        <w:rPr>
          <w:rFonts w:ascii="Times New Roman" w:hAnsi="Times New Roman"/>
          <w:b/>
          <w:i w:val="false"/>
          <w:color w:val="000000"/>
          <w:sz w:val="22"/>
        </w:rPr>
        <w:t xml:space="preserve">(154A)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hearing aid specialist in this state is required to complete a minimum of 24 hours of continuing education. A minimum of two hours will be in the content areas of Iowa hearing aid specialist law and rules, or ethics. Licensees who complete continuing education hours in excess of the requirements for renewal may apply up to 50 percent of the required hours to the following renewal period. Licensees may apply a maximum of 12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2061.2(2)</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 xml:space="preserve">; </w:t>
      </w:r>
      <w:r>
        <w:rPr>
          <w:rFonts w:ascii="Times New Roman" w:hAnsi="Times New Roman"/>
          <w:b/>
          <w:i w:val="false"/>
          <w:color w:val="000000"/>
          <w:sz w:val="16"/>
        </w:rPr>
        <w:t>ARC 9286C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481—2061.3</w:t>
      </w:r>
      <w:r>
        <w:rPr>
          <w:rFonts w:ascii="Times New Roman" w:hAnsi="Times New Roman"/>
          <w:b/>
          <w:i w:val="false"/>
          <w:color w:val="000000"/>
          <w:sz w:val="22"/>
        </w:rPr>
        <w:t xml:space="preserve">(154A,272C)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specialized education, training and experience in the subject matter of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place,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may be obtained by completing the following in person or virtually: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coursework if the coursework is offered by an accredited postsecondary educational institution. The maximum number of continuing education hours of credit for academic coursework per biennium is 15 hours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 academic semester hour = 15 continuing education hours; and 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four hours of credit may be obtained by independent study. Independent study hours are subject to the requirements stated in the rules in this chapter and in 481—Chapter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Attending programs or conferences or business, technical, or professional seminars that enhance a licensee’s ability to provide quality hearing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as specified in </w:t>
      </w:r>
      <w:hyperlink r:id="rId5">
        <w:r>
          <w:rPr>
            <w:rStyle w:val="Hyperlink"/>
            <w:rFonts w:ascii="Times New Roman" w:hAnsi="Times New Roman"/>
            <w:b w:val="false"/>
            <w:i w:val="false"/>
            <w:color w:val="000000"/>
            <w:sz w:val="22"/>
          </w:rPr>
          <w:t>481—subrule 2060.7(4)</w:t>
        </w:r>
      </w:hyperlink>
      <w:r>
        <w:rPr>
          <w:rFonts w:ascii="Times New Roman" w:hAnsi="Times New Roman"/>
          <w:b w:val="false"/>
          <w:i w:val="false"/>
          <w:color w:val="000000"/>
          <w:sz w:val="22"/>
        </w:rPr>
        <w:t>. Hours reported for credit shall not exceed the hours required for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8/18/00, Notice 5/17/00—published 9/6/00, effective 10/11/00]</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7818C</w:t>
      </w:r>
      <w:r>
        <w:rPr>
          <w:rFonts w:ascii="Times New Roman" w:hAnsi="Times New Roman"/>
          <w:b w:val="false"/>
          <w:i w:val="false"/>
          <w:color w:val="000000"/>
          <w:sz w:val="21"/>
        </w:rPr>
        <w:t xml:space="preserve"> (Notice ARC 7484C,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[Filed ARC 9286C</w:t>
      </w:r>
      <w:r>
        <w:rPr>
          <w:rFonts w:ascii="Times New Roman" w:hAnsi="Times New Roman"/>
          <w:b w:val="false"/>
          <w:i w:val="false"/>
          <w:color w:val="000000"/>
          <w:sz w:val="21"/>
        </w:rPr>
        <w:t xml:space="preserve"> (Notice ARC 8975C, IAB 3/5/25)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8/20/25]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60.7.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4A.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