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2042</w:t>
      </w:r>
    </w:p>
    <w:p>
      <w:pPr>
        <w:spacing w:before="0" w:after="0"/>
        <w:ind w:left="120"/>
        <w:jc w:val="center"/>
      </w:pPr>
      <w:r>
        <w:rPr>
          <w:rFonts w:ascii="Times New Roman" w:hAnsi="Times New Roman"/>
          <w:b w:val="false"/>
          <w:i w:val="false"/>
          <w:color w:val="000000"/>
          <w:sz w:val="21"/>
        </w:rPr>
        <w:t>ENFORCEMENT PROCEEDINGS AGAINST NONLICENSEES</w:t>
      </w:r>
    </w:p>
    <w:p>
      <w:pPr>
        <w:spacing w:before="0" w:after="0"/>
        <w:ind w:left="120"/>
        <w:jc w:val="center"/>
      </w:pPr>
      <w:r>
        <w:rPr>
          <w:rFonts w:ascii="Times New Roman" w:hAnsi="Times New Roman"/>
          <w:b w:val="false"/>
          <w:i w:val="false"/>
          <w:color w:val="000000"/>
          <w:sz w:val="20"/>
        </w:rPr>
        <w:t>[Prior to 4/17/24, see 193F—Chapter 16]</w:t>
      </w:r>
    </w:p>
    <w:p>
      <w:pPr>
        <w:spacing w:before="0" w:after="0"/>
        <w:ind w:left="120"/>
        <w:jc w:val="center"/>
      </w:pPr>
      <w:r>
        <w:rPr>
          <w:rFonts w:ascii="Times New Roman" w:hAnsi="Times New Roman"/>
          <w:b w:val="false"/>
          <w:i w:val="false"/>
          <w:color w:val="000000"/>
          <w:sz w:val="20"/>
        </w:rPr>
        <w:t>[Prior to 6/10/26, see Real Estate Appraiser Examining Board[193F] Ch 12]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481—2042.1</w:t>
      </w:r>
      <w:r>
        <w:rPr>
          <w:rFonts w:ascii="Times New Roman" w:hAnsi="Times New Roman"/>
          <w:b/>
          <w:i w:val="false"/>
          <w:color w:val="000000"/>
          <w:sz w:val="22"/>
        </w:rPr>
        <w:t xml:space="preserve">(543D) </w:t>
      </w:r>
      <w:r>
        <w:rPr>
          <w:rFonts w:ascii="Times New Roman" w:hAnsi="Times New Roman"/>
          <w:b/>
          <w:i w:val="false"/>
          <w:color w:val="000000"/>
          <w:sz w:val="22"/>
        </w:rPr>
        <w:t xml:space="preserve">Civil penalties against nonlicensees. </w:t>
      </w:r>
      <w:r>
        <w:rPr>
          <w:rFonts w:ascii="Times New Roman" w:hAnsi="Times New Roman"/>
          <w:b w:val="false"/>
          <w:i w:val="false"/>
          <w:color w:val="000000"/>
          <w:sz w:val="22"/>
        </w:rPr>
        <w:t xml:space="preserve">The board may impose civil penalties by order against a person who is not licensed by the board based on the unlawful practices specified in Iowa Code section </w:t>
      </w:r>
      <w:hyperlink r:id="rId5">
        <w:r>
          <w:rPr>
            <w:rStyle w:val="Hyperlink"/>
            <w:rFonts w:ascii="Times New Roman" w:hAnsi="Times New Roman"/>
            <w:b w:val="false"/>
            <w:i w:val="false"/>
            <w:color w:val="000000"/>
            <w:sz w:val="22"/>
          </w:rPr>
          <w:t>543D.21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7855C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481—2042.2</w:t>
      </w:r>
      <w:r>
        <w:rPr>
          <w:rFonts w:ascii="Times New Roman" w:hAnsi="Times New Roman"/>
          <w:b/>
          <w:i w:val="false"/>
          <w:color w:val="000000"/>
          <w:sz w:val="22"/>
        </w:rPr>
        <w:t xml:space="preserve">(543D) </w:t>
      </w:r>
      <w:r>
        <w:rPr>
          <w:rFonts w:ascii="Times New Roman" w:hAnsi="Times New Roman"/>
          <w:b/>
          <w:i w:val="false"/>
          <w:color w:val="000000"/>
          <w:sz w:val="22"/>
        </w:rPr>
        <w:t xml:space="preserve">Grounds for imposing civil penalties. </w:t>
      </w:r>
      <w:r>
        <w:rPr>
          <w:rFonts w:ascii="Times New Roman" w:hAnsi="Times New Roman"/>
          <w:b w:val="false"/>
          <w:i w:val="false"/>
          <w:color w:val="000000"/>
          <w:sz w:val="22"/>
        </w:rPr>
        <w:t xml:space="preserve">Grounds for issuing an order requiring compliance with Iowa Code chapter </w:t>
      </w:r>
      <w:hyperlink r:id="rId6">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xml:space="preserve"> or imposing civil penalties up to $1,000 for each violation include: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2042.2(1)</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Violating Iowa Code section </w:t>
      </w:r>
      <w:hyperlink r:id="rId7">
        <w:r>
          <w:rPr>
            <w:rStyle w:val="Hyperlink"/>
            <w:rFonts w:ascii="Times New Roman" w:hAnsi="Times New Roman"/>
            <w:b w:val="false"/>
            <w:i w:val="false"/>
            <w:color w:val="000000"/>
            <w:sz w:val="22"/>
          </w:rPr>
          <w:t>543D.15(1)</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2042.2(2)</w:t>
      </w:r>
      <w:r>
        <w:rPr>
          <w:rFonts w:ascii="Times New Roman" w:hAnsi="Times New Roman"/>
          <w:b w:val="false"/>
          <w:i w:val="false"/>
          <w:color w:val="000000"/>
          <w:sz w:val="22"/>
        </w:rPr>
        <w:t> </w:t>
      </w:r>
      <w:r>
        <w:rPr>
          <w:rFonts w:ascii="Times New Roman" w:hAnsi="Times New Roman"/>
          <w:b w:val="false"/>
          <w:i w:val="false"/>
          <w:color w:val="000000"/>
          <w:sz w:val="22"/>
        </w:rPr>
        <w:t xml:space="preserve">Failing to obtain a temporary practice permit under Iowa Code section </w:t>
      </w:r>
      <w:hyperlink r:id="rId8">
        <w:r>
          <w:rPr>
            <w:rStyle w:val="Hyperlink"/>
            <w:rFonts w:ascii="Times New Roman" w:hAnsi="Times New Roman"/>
            <w:b w:val="false"/>
            <w:i w:val="false"/>
            <w:color w:val="000000"/>
            <w:sz w:val="22"/>
          </w:rPr>
          <w:t>543D.11(2)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2042.2(3)</w:t>
      </w:r>
      <w:r>
        <w:rPr>
          <w:rFonts w:ascii="Times New Roman" w:hAnsi="Times New Roman"/>
          <w:b w:val="false"/>
          <w:i w:val="false"/>
          <w:color w:val="000000"/>
          <w:sz w:val="22"/>
        </w:rPr>
        <w:t> </w:t>
      </w:r>
      <w:r>
        <w:rPr>
          <w:rFonts w:ascii="Times New Roman" w:hAnsi="Times New Roman"/>
          <w:b w:val="false"/>
          <w:i w:val="false"/>
          <w:color w:val="000000"/>
          <w:sz w:val="22"/>
        </w:rPr>
        <w:t>Falsely impersonating a licensee by using the certification or registration title, number or signature of a licensee, or by using the nonexistent certification or registration title, number or signature of a fictitious holder of a board-issued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2042.2(4)</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Violating Iowa Code section </w:t>
      </w:r>
      <w:hyperlink r:id="rId9">
        <w:r>
          <w:rPr>
            <w:rStyle w:val="Hyperlink"/>
            <w:rFonts w:ascii="Times New Roman" w:hAnsi="Times New Roman"/>
            <w:b w:val="false"/>
            <w:i w:val="false"/>
            <w:color w:val="000000"/>
            <w:sz w:val="22"/>
          </w:rPr>
          <w:t>543D.21(4)</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2042.2(5)</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Violating Iowa Code section </w:t>
      </w:r>
      <w:hyperlink r:id="rId10">
        <w:r>
          <w:rPr>
            <w:rStyle w:val="Hyperlink"/>
            <w:rFonts w:ascii="Times New Roman" w:hAnsi="Times New Roman"/>
            <w:b w:val="false"/>
            <w:i w:val="false"/>
            <w:color w:val="000000"/>
            <w:sz w:val="22"/>
          </w:rPr>
          <w:t>543D.20(1)</w:t>
        </w:r>
      </w:hyperlink>
      <w:r>
        <w:rPr>
          <w:rFonts w:ascii="Times New Roman" w:hAnsi="Times New Roman"/>
          <w:b w:val="false"/>
          <w:i/>
          <w:color w:val="000000"/>
          <w:sz w:val="22"/>
        </w:rPr>
        <w:t>“a,”</w:t>
      </w:r>
      <w:r>
        <w:rPr>
          <w:rFonts w:ascii="Times New Roman" w:hAnsi="Times New Roman"/>
          <w:b w:val="false"/>
          <w:i w:val="false"/>
          <w:color w:val="000000"/>
          <w:sz w:val="22"/>
          <w:u w:val="single"/>
        </w:rPr>
        <w:t> </w:t>
      </w:r>
      <w:r>
        <w:rPr>
          <w:rFonts w:ascii="Times New Roman" w:hAnsi="Times New Roman"/>
          <w:b w:val="false"/>
          <w:i/>
          <w:color w:val="000000"/>
          <w:sz w:val="22"/>
        </w:rPr>
        <w:t>“b,”</w:t>
      </w:r>
      <w:r>
        <w:rPr>
          <w:rFonts w:ascii="Times New Roman" w:hAnsi="Times New Roman"/>
          <w:b w:val="false"/>
          <w:i w:val="false"/>
          <w:color w:val="000000"/>
          <w:sz w:val="22"/>
          <w:u w:val="single"/>
        </w:rPr>
        <w:t> </w:t>
      </w:r>
      <w:r>
        <w:rPr>
          <w:rFonts w:ascii="Times New Roman" w:hAnsi="Times New Roman"/>
          <w:b w:val="false"/>
          <w:i/>
          <w:color w:val="000000"/>
          <w:sz w:val="22"/>
        </w:rPr>
        <w:t>“c,”</w:t>
      </w:r>
      <w:r>
        <w:rPr>
          <w:rFonts w:ascii="Times New Roman" w:hAnsi="Times New Roman"/>
          <w:b w:val="false"/>
          <w:i w:val="false"/>
          <w:color w:val="000000"/>
          <w:sz w:val="22"/>
        </w:rPr>
        <w:t xml:space="preserve"> or </w:t>
      </w:r>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2042.2(6)</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Violating Iowa Code section </w:t>
      </w:r>
      <w:hyperlink r:id="rId11">
        <w:r>
          <w:rPr>
            <w:rStyle w:val="Hyperlink"/>
            <w:rFonts w:ascii="Times New Roman" w:hAnsi="Times New Roman"/>
            <w:b w:val="false"/>
            <w:i w:val="false"/>
            <w:color w:val="000000"/>
            <w:sz w:val="22"/>
          </w:rPr>
          <w:t>543D.18A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7855C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481—2042.3</w:t>
      </w:r>
      <w:r>
        <w:rPr>
          <w:rFonts w:ascii="Times New Roman" w:hAnsi="Times New Roman"/>
          <w:b/>
          <w:i w:val="false"/>
          <w:color w:val="000000"/>
          <w:sz w:val="22"/>
        </w:rPr>
        <w:t xml:space="preserve">(543D) </w:t>
      </w:r>
      <w:r>
        <w:rPr>
          <w:rFonts w:ascii="Times New Roman" w:hAnsi="Times New Roman"/>
          <w:b/>
          <w:i w:val="false"/>
          <w:color w:val="000000"/>
          <w:sz w:val="22"/>
        </w:rPr>
        <w:t xml:space="preserve">Notice of intent to impose civil 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the board’s intent to issue an order to compel compliance with Iowa Code section </w:t>
      </w:r>
      <w:hyperlink r:id="rId12">
        <w:r>
          <w:rPr>
            <w:rStyle w:val="Hyperlink"/>
            <w:rFonts w:ascii="Times New Roman" w:hAnsi="Times New Roman"/>
            <w:b w:val="false"/>
            <w:i w:val="false"/>
            <w:color w:val="000000"/>
            <w:sz w:val="22"/>
          </w:rPr>
          <w:t>543D.21</w:t>
        </w:r>
      </w:hyperlink>
      <w:r>
        <w:rPr>
          <w:rFonts w:ascii="Times New Roman" w:hAnsi="Times New Roman"/>
          <w:b w:val="false"/>
          <w:i w:val="false"/>
          <w:color w:val="000000"/>
          <w:sz w:val="22"/>
        </w:rPr>
        <w:t xml:space="preserve"> and to impose a civil penalty will be served upon the nonlicensee by certified mail, return receipt requested, or by personal service in accordance with Iowa Rule of Civil Procedure 1.305. Alternatively, the nonlicensee may accept service personally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2042.3(2)</w:t>
      </w:r>
      <w:r>
        <w:rPr>
          <w:rFonts w:ascii="Times New Roman" w:hAnsi="Times New Roman"/>
          <w:b w:val="false"/>
          <w:i w:val="false"/>
          <w:color w:val="000000"/>
          <w:sz w:val="22"/>
        </w:rPr>
        <w:t> </w:t>
      </w:r>
      <w:r>
        <w:rPr>
          <w:rFonts w:ascii="Times New Roman" w:hAnsi="Times New Roman"/>
          <w:b w:val="false"/>
          <w:i w:val="false"/>
          <w:color w:val="000000"/>
          <w:sz w:val="22"/>
        </w:rPr>
        <w:t>The notice will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of the legal authority and jurisdiction under which the proposed civil penalty would be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Reference to the particular sections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short, plain statement of the alleged unlawful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dollar amount of the proposed civil penalty and the nature of the intended order to compel compliance with Iowa Code section </w:t>
      </w:r>
      <w:hyperlink r:id="rId13">
        <w:r>
          <w:rPr>
            <w:rStyle w:val="Hyperlink"/>
            <w:rFonts w:ascii="Times New Roman" w:hAnsi="Times New Roman"/>
            <w:b w:val="false"/>
            <w:i w:val="false"/>
            <w:color w:val="000000"/>
            <w:sz w:val="22"/>
          </w:rPr>
          <w:t>543D.21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Notice of the nonlicensee’s right to a hearing and the time frame in which hearing has to be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address to which a written request for hearing has to be made.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7855C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481—2042.4</w:t>
      </w:r>
      <w:r>
        <w:rPr>
          <w:rFonts w:ascii="Times New Roman" w:hAnsi="Times New Roman"/>
          <w:b/>
          <w:i w:val="false"/>
          <w:color w:val="000000"/>
          <w:sz w:val="22"/>
        </w:rPr>
        <w:t xml:space="preserve">(543D) </w:t>
      </w:r>
      <w:r>
        <w:rPr>
          <w:rFonts w:ascii="Times New Roman" w:hAnsi="Times New Roman"/>
          <w:b/>
          <w:i w:val="false"/>
          <w:color w:val="000000"/>
          <w:sz w:val="22"/>
        </w:rPr>
        <w:t xml:space="preserve">Request for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2042.4(1)</w:t>
      </w:r>
      <w:r>
        <w:rPr>
          <w:rFonts w:ascii="Times New Roman" w:hAnsi="Times New Roman"/>
          <w:b w:val="false"/>
          <w:i w:val="false"/>
          <w:color w:val="000000"/>
          <w:sz w:val="22"/>
        </w:rPr>
        <w:t> </w:t>
      </w:r>
      <w:r>
        <w:rPr>
          <w:rFonts w:ascii="Times New Roman" w:hAnsi="Times New Roman"/>
          <w:b w:val="false"/>
          <w:i w:val="false"/>
          <w:color w:val="000000"/>
          <w:sz w:val="22"/>
        </w:rPr>
        <w:t>Nonlicensees have to request a hearing within 30 days of the date the notice is received or service is accepted. A request for hearing has to be in writing and is deemed made on the date of the non-metered United States Postal Service postmark or the date of personal delivery to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2042.4(2)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request for hearing is not timely made, as described in the notice, the board chairperson or the chairperson’s designee may issue an order imposing a civil penalty and requiring compliance with Iowa Code chapter </w:t>
      </w:r>
      <w:hyperlink r:id="rId14">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The order may be mailed by regular first-class mail or served in the same manner as the notice of intent to impose a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2042.4(3)</w:t>
      </w:r>
      <w:r>
        <w:rPr>
          <w:rFonts w:ascii="Times New Roman" w:hAnsi="Times New Roman"/>
          <w:b w:val="false"/>
          <w:i w:val="false"/>
          <w:color w:val="000000"/>
          <w:sz w:val="22"/>
        </w:rPr>
        <w:t> </w:t>
      </w:r>
      <w:r>
        <w:rPr>
          <w:rFonts w:ascii="Times New Roman" w:hAnsi="Times New Roman"/>
          <w:b w:val="false"/>
          <w:i w:val="false"/>
          <w:color w:val="000000"/>
          <w:sz w:val="22"/>
        </w:rPr>
        <w:t>If a request for hearing is timely made, the board will issue a notice of hearing and conduct a hearing in the same manner as applicable to disciplinary cases against licensees. Hearings involving nonlicensees are open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2042.4(4)</w:t>
      </w:r>
      <w:r>
        <w:rPr>
          <w:rFonts w:ascii="Times New Roman" w:hAnsi="Times New Roman"/>
          <w:b w:val="false"/>
          <w:i w:val="false"/>
          <w:color w:val="000000"/>
          <w:sz w:val="22"/>
        </w:rPr>
        <w:t> </w:t>
      </w:r>
      <w:r>
        <w:rPr>
          <w:rFonts w:ascii="Times New Roman" w:hAnsi="Times New Roman"/>
          <w:b w:val="false"/>
          <w:i w:val="false"/>
          <w:color w:val="000000"/>
          <w:sz w:val="22"/>
        </w:rPr>
        <w:t xml:space="preserve">A nonlicensee may waive the right to hearing and all attendant rights and enter into a consent order imposing a civil penalty and requiring compliance with Iowa Code chapter </w:t>
      </w:r>
      <w:hyperlink r:id="rId15">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 xml:space="preserve"> at any stage of the proceeding upon mutual consent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2042.4(5)</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intent to issue an order and the order are public records available for inspection and copying in accordance with Iowa Code chapter </w:t>
      </w:r>
      <w:hyperlink r:id="rId16">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7855C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1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543D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7855C</w:t>
      </w:r>
      <w:r>
        <w:rPr>
          <w:rFonts w:ascii="Times New Roman" w:hAnsi="Times New Roman"/>
          <w:b w:val="false"/>
          <w:i w:val="false"/>
          <w:color w:val="000000"/>
          <w:sz w:val="21"/>
        </w:rPr>
        <w:t xml:space="preserve"> (Notice ARC 7272C,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6/10/26]</w:t>
      </w:r>
    </w:p>
    <w:sectPr>
      <w:footerReference r:id="rId1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3D.21.pdf" Type="http://schemas.openxmlformats.org/officeDocument/2006/relationships/hyperlink" Id="rId5"/>
    <Relationship TargetMode="External" Target="https://www.legis.iowa.gov/docs/ico/chapter/543D.pdf" Type="http://schemas.openxmlformats.org/officeDocument/2006/relationships/hyperlink" Id="rId6"/>
    <Relationship TargetMode="External" Target="https://www.legis.iowa.gov/docs/ico/chapter/543D.15.pdf" Type="http://schemas.openxmlformats.org/officeDocument/2006/relationships/hyperlink" Id="rId7"/>
    <Relationship TargetMode="External" Target="https://www.legis.iowa.gov/docs/ico/chapter/543D.11.pdf" Type="http://schemas.openxmlformats.org/officeDocument/2006/relationships/hyperlink" Id="rId8"/>
    <Relationship TargetMode="External" Target="https://www.legis.iowa.gov/docs/ico/chapter/543D.21.pdf" Type="http://schemas.openxmlformats.org/officeDocument/2006/relationships/hyperlink" Id="rId9"/>
    <Relationship TargetMode="External" Target="https://www.legis.iowa.gov/docs/ico/chapter/543D.20.pdf" Type="http://schemas.openxmlformats.org/officeDocument/2006/relationships/hyperlink" Id="rId10"/>
    <Relationship TargetMode="External" Target="https://www.legis.iowa.gov/docs/ico/chapter/543D.18A.pdf" Type="http://schemas.openxmlformats.org/officeDocument/2006/relationships/hyperlink" Id="rId11"/>
    <Relationship TargetMode="External" Target="https://www.legis.iowa.gov/docs/ico/chapter/543D.21.pdf" Type="http://schemas.openxmlformats.org/officeDocument/2006/relationships/hyperlink" Id="rId12"/>
    <Relationship TargetMode="External" Target="https://www.legis.iowa.gov/docs/ico/chapter/543D.21.pdf" Type="http://schemas.openxmlformats.org/officeDocument/2006/relationships/hyperlink" Id="rId13"/>
    <Relationship TargetMode="External" Target="https://www.legis.iowa.gov/docs/ico/chapter/543D.pdf" Type="http://schemas.openxmlformats.org/officeDocument/2006/relationships/hyperlink" Id="rId14"/>
    <Relationship TargetMode="External" Target="https://www.legis.iowa.gov/docs/ico/chapter/543D.pdf" Type="http://schemas.openxmlformats.org/officeDocument/2006/relationships/hyperlink" Id="rId15"/>
    <Relationship TargetMode="External" Target="https://www.legis.iowa.gov/docs/ico/chapter/22.pdf" Type="http://schemas.openxmlformats.org/officeDocument/2006/relationships/hyperlink" Id="rId16"/>
    <Relationship TargetMode="External" Target="https://www.legis.iowa.gov/docs/ico/chapter/17A.pdf" Type="http://schemas.openxmlformats.org/officeDocument/2006/relationships/hyperlink" Id="rId17"/>
    <Relationship TargetMode="External" Target="https://www.legis.iowa.gov/docs/ico/chapter/543D.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