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2040</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4/17/24, see 193F—Chapter 11]</w:t>
      </w:r>
    </w:p>
    <w:p>
      <w:pPr>
        <w:spacing w:before="0" w:after="0"/>
        <w:ind w:left="120"/>
        <w:jc w:val="center"/>
      </w:pPr>
      <w:r>
        <w:rPr>
          <w:rFonts w:ascii="Times New Roman" w:hAnsi="Times New Roman"/>
          <w:b w:val="false"/>
          <w:i w:val="false"/>
          <w:color w:val="000000"/>
          <w:sz w:val="20"/>
        </w:rPr>
        <w:t>[Prior to 6/10/26, see Real Estate Appraiser Examining Board[193F]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481—2040.1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 course, or activity that satisfies the standards set forth in these rules and has received advance board approval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or an organization that has been approved by the board to conduct continuing education programs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w:t>
      </w:r>
      <w:r>
        <w:rPr>
          <w:rFonts w:ascii="Times New Roman" w:hAnsi="Times New Roman"/>
          <w:b w:val="false"/>
          <w:i w:val="false"/>
          <w:color w:val="000000"/>
          <w:sz w:val="22"/>
        </w:rPr>
        <w:t> </w:t>
      </w:r>
      <w:r>
        <w:rPr>
          <w:rFonts w:ascii="Times New Roman" w:hAnsi="Times New Roman"/>
          <w:b w:val="false"/>
          <w:i w:val="false"/>
          <w:color w:val="000000"/>
          <w:sz w:val="22"/>
        </w:rPr>
        <w:t>means that the instructor and student interact in an educational offering in which the student progresses at the student’s own pace through structured course content and scheduled quizzes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543D.2(7)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certified to practice real estate appraising in order to maintain, improve, or expand skills and knowledge obtained prior to initial certification or registration, or to develop new and relevant skills and knowledge, all as a condition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 hour”</w:t>
      </w:r>
      <w:r>
        <w:rPr>
          <w:rFonts w:ascii="Times New Roman" w:hAnsi="Times New Roman"/>
          <w:b w:val="false"/>
          <w:i w:val="false"/>
          <w:color w:val="000000"/>
          <w:sz w:val="22"/>
        </w:rPr>
        <w:t> </w:t>
      </w:r>
      <w:r>
        <w:rPr>
          <w:rFonts w:ascii="Times New Roman" w:hAnsi="Times New Roman"/>
          <w:b w:val="false"/>
          <w:i w:val="false"/>
          <w:color w:val="000000"/>
          <w:sz w:val="22"/>
        </w:rPr>
        <w:t>means the value assigned by the board, or the AQB, to a continuing or qualifying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education” includes asynchronous, synchronous, and hybrid educational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speaker”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teaches an appraisal education program on a one-time-only or very limited basis and who possesses a unique depth of knowledge and experience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“Hybrid,”</w:t>
      </w:r>
      <w:r>
        <w:rPr>
          <w:rFonts w:ascii="Times New Roman" w:hAnsi="Times New Roman"/>
          <w:b w:val="false"/>
          <w:i w:val="false"/>
          <w:color w:val="000000"/>
          <w:sz w:val="22"/>
        </w:rPr>
        <w:t> </w:t>
      </w:r>
      <w:r>
        <w:rPr>
          <w:rFonts w:ascii="Times New Roman" w:hAnsi="Times New Roman"/>
          <w:b w:val="false"/>
          <w:i w:val="false"/>
          <w:color w:val="000000"/>
          <w:sz w:val="22"/>
        </w:rPr>
        <w:t>also known as a blended course, means a learning environment that allows for both in-person and online (synchronous or asynchronous)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instruction”</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delivered in a classroom setting where both the student and the instructor are present in the same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“Qualifying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that is obtained by a person seeking certification as a real property appraiser prior to initial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“Synchronous”</w:t>
      </w:r>
      <w:r>
        <w:rPr>
          <w:rFonts w:ascii="Times New Roman" w:hAnsi="Times New Roman"/>
          <w:b w:val="false"/>
          <w:i w:val="false"/>
          <w:color w:val="000000"/>
          <w:sz w:val="22"/>
        </w:rPr>
        <w:t> </w:t>
      </w:r>
      <w:r>
        <w:rPr>
          <w:rFonts w:ascii="Times New Roman" w:hAnsi="Times New Roman"/>
          <w:b w:val="false"/>
          <w:i w:val="false"/>
          <w:color w:val="000000"/>
          <w:sz w:val="22"/>
        </w:rPr>
        <w:t>means that in an educational offering the instructor and student interact online simultaneously, as in a phone call, video chat or live webinar, or web-based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Continuing education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w:t>
      </w:r>
      <w:r>
        <w:rPr>
          <w:rFonts w:ascii="Times New Roman" w:hAnsi="Times New Roman"/>
          <w:b w:val="false"/>
          <w:i w:val="false"/>
          <w:color w:val="000000"/>
          <w:sz w:val="22"/>
        </w:rPr>
        <w:t> </w:t>
      </w:r>
      <w:r>
        <w:rPr>
          <w:rFonts w:ascii="Times New Roman" w:hAnsi="Times New Roman"/>
          <w:b w:val="false"/>
          <w:i w:val="false"/>
          <w:color w:val="000000"/>
          <w:sz w:val="22"/>
        </w:rPr>
        <w:t>Board-licensed appraisers have to demonstrate compliance with the continuing education set by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2040.2(2)</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credit hours may be acquired in approved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2040.2(3)</w:t>
      </w:r>
      <w:r>
        <w:rPr>
          <w:rFonts w:ascii="Times New Roman" w:hAnsi="Times New Roman"/>
          <w:b w:val="false"/>
          <w:i w:val="false"/>
          <w:color w:val="000000"/>
          <w:sz w:val="22"/>
        </w:rPr>
        <w:t> </w:t>
      </w:r>
      <w:r>
        <w:rPr>
          <w:rFonts w:ascii="Times New Roman" w:hAnsi="Times New Roman"/>
          <w:b w:val="false"/>
          <w:i w:val="false"/>
          <w:color w:val="000000"/>
          <w:sz w:val="22"/>
        </w:rPr>
        <w:t>Instructors claiming continuing education credit may be requested to provide supporting documentation to ascertain course content and related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2040.2(4)</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renew an initial license issued less than 185 days prior to renewal is not obligated to report any continuing education. An applicant seeking to renew an initial certificate or registration issued for 185 days to 365 days prior to renewal has to demonstrate completion of at least 14 credit hours, including the National USPAP continuing education course or its AQB equivalent. An applicant seeking to renew an initial certificate or registration issued 365 days prior to renewal or more has to demonstrate completion of at least 28 credit hours, including seven credit hours of the most recent National USPAP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2040.2(5)</w:t>
      </w:r>
      <w:r>
        <w:rPr>
          <w:rFonts w:ascii="Times New Roman" w:hAnsi="Times New Roman"/>
          <w:b w:val="false"/>
          <w:i w:val="false"/>
          <w:color w:val="000000"/>
          <w:sz w:val="22"/>
        </w:rPr>
        <w:t> </w:t>
      </w:r>
      <w:r>
        <w:rPr>
          <w:rFonts w:ascii="Times New Roman" w:hAnsi="Times New Roman"/>
          <w:b w:val="false"/>
          <w:i w:val="false"/>
          <w:color w:val="000000"/>
          <w:sz w:val="22"/>
        </w:rPr>
        <w:t>Prior to reinstatement or reactivation of a certified general or residential registration, a licensee in inactive, retired, or lapsed status has to complete all continuing education hours that would have been needed if the licensee was in active status. The hours will also include the most recent edition of a National USPAP Update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2040.2(6)</w:t>
      </w:r>
      <w:r>
        <w:rPr>
          <w:rFonts w:ascii="Times New Roman" w:hAnsi="Times New Roman"/>
          <w:b w:val="false"/>
          <w:i w:val="false"/>
          <w:color w:val="000000"/>
          <w:sz w:val="22"/>
        </w:rPr>
        <w:t> </w:t>
      </w:r>
      <w:r>
        <w:rPr>
          <w:rFonts w:ascii="Times New Roman" w:hAnsi="Times New Roman"/>
          <w:b w:val="false"/>
          <w:i w:val="false"/>
          <w:color w:val="000000"/>
          <w:sz w:val="22"/>
        </w:rPr>
        <w:t>During each two-year renewal period, a continuing education program may be taken for credit only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2040.2(7)</w:t>
      </w:r>
      <w:r>
        <w:rPr>
          <w:rFonts w:ascii="Times New Roman" w:hAnsi="Times New Roman"/>
          <w:b w:val="false"/>
          <w:i w:val="false"/>
          <w:color w:val="000000"/>
          <w:sz w:val="22"/>
        </w:rPr>
        <w:t> </w:t>
      </w:r>
      <w:r>
        <w:rPr>
          <w:rFonts w:ascii="Times New Roman" w:hAnsi="Times New Roman"/>
          <w:b w:val="false"/>
          <w:i w:val="false"/>
          <w:color w:val="000000"/>
          <w:sz w:val="22"/>
        </w:rPr>
        <w:t>At least 50 minutes of every class hour have to be attended by the student to count as an hour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2040.2(8)</w:t>
      </w:r>
      <w:r>
        <w:rPr>
          <w:rFonts w:ascii="Times New Roman" w:hAnsi="Times New Roman"/>
          <w:b w:val="false"/>
          <w:i w:val="false"/>
          <w:color w:val="000000"/>
          <w:sz w:val="22"/>
        </w:rPr>
        <w:t> </w:t>
      </w:r>
      <w:r>
        <w:rPr>
          <w:rFonts w:ascii="Times New Roman" w:hAnsi="Times New Roman"/>
          <w:b w:val="false"/>
          <w:i w:val="false"/>
          <w:color w:val="000000"/>
          <w:sz w:val="22"/>
        </w:rPr>
        <w:t>An applicant may claim continuing education credits that have been approved by another jurisdiction that has a continuing education obligation for license renewal in that jurisdiction if the applicable program was approved by the other jurisdiction’s appraisal regulatory body or the AQB for continuing education purposes at the time the applicant completed the course. The burden of proof in this regard is on the applicant. All other programs have to be approved upon application to the board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2040.2(9)</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will be deemed to have complied with Iowa’s continuing education obligation for periods in which the person is a resident of another state or district having continuing education obligations for real estate appraising and meets all obligations of that state or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2040.2(10)</w:t>
      </w:r>
      <w:r>
        <w:rPr>
          <w:rFonts w:ascii="Times New Roman" w:hAnsi="Times New Roman"/>
          <w:b w:val="false"/>
          <w:i w:val="false"/>
          <w:color w:val="000000"/>
          <w:sz w:val="22"/>
        </w:rPr>
        <w:t> </w:t>
      </w:r>
      <w:r>
        <w:rPr>
          <w:rFonts w:ascii="Times New Roman" w:hAnsi="Times New Roman"/>
          <w:b w:val="false"/>
          <w:i w:val="false"/>
          <w:color w:val="000000"/>
          <w:sz w:val="22"/>
        </w:rPr>
        <w:t>A person certified or registered to practice real estate appraising in Iowa who completes an education course approved by both the board and another appraiser regulatory body, for which the approved hours vary, will only be allowed to claim the hours approved by the board to meet the obligations of renewal of the person’s associate registration or certified credential in Iowa. A person certified or registered to practice real estate appraising in Iowa who completes an educational course not approved in Iowa, but approved by either the AQB or by another appraiser regulatory body, may claim the hours awarded by either the AQB or the appraiser regulatory body of the other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Minimum program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2040.3(1)</w:t>
      </w:r>
      <w:r>
        <w:rPr>
          <w:rFonts w:ascii="Times New Roman" w:hAnsi="Times New Roman"/>
          <w:b w:val="false"/>
          <w:i w:val="false"/>
          <w:color w:val="000000"/>
          <w:sz w:val="22"/>
        </w:rPr>
        <w:t> </w:t>
      </w:r>
      <w:r>
        <w:rPr>
          <w:rFonts w:ascii="Times New Roman" w:hAnsi="Times New Roman"/>
          <w:b w:val="false"/>
          <w:i w:val="false"/>
          <w:color w:val="000000"/>
          <w:sz w:val="22"/>
        </w:rPr>
        <w:t>The board will only approve continuing education programs that provide a formal program of learning that contributes to the growth in the professional knowledge and professional competence of real estate appraisers.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2040.3(2)</w:t>
      </w:r>
      <w:r>
        <w:rPr>
          <w:rFonts w:ascii="Times New Roman" w:hAnsi="Times New Roman"/>
          <w:b w:val="false"/>
          <w:i w:val="false"/>
          <w:color w:val="000000"/>
          <w:sz w:val="22"/>
        </w:rPr>
        <w:t> </w:t>
      </w:r>
      <w:r>
        <w:rPr>
          <w:rFonts w:ascii="Times New Roman" w:hAnsi="Times New Roman"/>
          <w:b w:val="false"/>
          <w:i w:val="false"/>
          <w:color w:val="000000"/>
          <w:sz w:val="22"/>
        </w:rPr>
        <w:t>Continuing education programs as listed in the AQB criteria are accepted by the board, as well as the following appraisal topics, which the board has determined are integrally related to appraisal topics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Agriculture production and economics;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Agronomy/soil;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Real estate appraisal technology (e.g., drones).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2040.3(3)</w:t>
      </w:r>
      <w:r>
        <w:rPr>
          <w:rFonts w:ascii="Times New Roman" w:hAnsi="Times New Roman"/>
          <w:b w:val="false"/>
          <w:i w:val="false"/>
          <w:color w:val="000000"/>
          <w:sz w:val="22"/>
        </w:rPr>
        <w:t> </w:t>
      </w:r>
      <w:r>
        <w:rPr>
          <w:rFonts w:ascii="Times New Roman" w:hAnsi="Times New Roman"/>
          <w:b w:val="false"/>
          <w:i w:val="false"/>
          <w:color w:val="000000"/>
          <w:sz w:val="22"/>
        </w:rPr>
        <w:t>The following programs will not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promotion meetings held in conjunction with the appraiser’s general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devoted to breakfast, lunch, or dinner;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certified by the use of a challenge examination. The number of hours will be completed to receive credit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that do not provide at least two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2040.3(4)</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will be granted only for whole hours, with a minimum of 50 minutes constituting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2040.3(5)</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approved for university or college courses, when an official transcript is provided, in qualifying topics according to the following formula: Each semester hour of credit will equal 15 credit hours and each quarter hour of credit will equal 10 credit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Standards for provider and program approval. </w:t>
      </w:r>
      <w:r>
        <w:rPr>
          <w:rFonts w:ascii="Times New Roman" w:hAnsi="Times New Roman"/>
          <w:b w:val="false"/>
          <w:i w:val="false"/>
          <w:color w:val="000000"/>
          <w:sz w:val="22"/>
        </w:rPr>
        <w:t>Providers and programs will satisfy the following minimum standards in order to be preapproved in accordance with the procedures established in this chapter and in order to maintain approved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w:t>
      </w:r>
      <w:r>
        <w:rPr>
          <w:rFonts w:ascii="Times New Roman" w:hAnsi="Times New Roman"/>
          <w:b w:val="false"/>
          <w:i w:val="false"/>
          <w:color w:val="000000"/>
          <w:sz w:val="22"/>
        </w:rPr>
        <w:t> </w:t>
      </w:r>
      <w:r>
        <w:rPr>
          <w:rFonts w:ascii="Times New Roman" w:hAnsi="Times New Roman"/>
          <w:b w:val="false"/>
          <w:i w:val="false"/>
          <w:color w:val="000000"/>
          <w:sz w:val="22"/>
        </w:rPr>
        <w:t>The program will be taught or developed by individuals who have the education, training and experience to be considered experts in the subject matter of the program and competent in the use of teaching methods appropriate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w:t>
      </w:r>
      <w:r>
        <w:rPr>
          <w:rFonts w:ascii="Times New Roman" w:hAnsi="Times New Roman"/>
          <w:b w:val="false"/>
          <w:i w:val="false"/>
          <w:color w:val="000000"/>
          <w:sz w:val="22"/>
        </w:rPr>
        <w:t> </w:t>
      </w:r>
      <w:r>
        <w:rPr>
          <w:rFonts w:ascii="Times New Roman" w:hAnsi="Times New Roman"/>
          <w:b w:val="false"/>
          <w:i w:val="false"/>
          <w:color w:val="000000"/>
          <w:sz w:val="22"/>
        </w:rPr>
        <w:t>Programs will be taught by instructors who have successfully completed an instructor development workshop within 24 months preceding board approval of the program. Certified USPAP instructors and instructors approved via a course delivery mechanism approval per the AQB criteria will be considered to have met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an instructor is qualified to teach a particular program, the board will consider whether the instructor has an ability to teach and an in-depth knowledge of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2040.4(4)</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the ability to teach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in education from an accredited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current teaching credential or certificate in any real estate or real estate-related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certificate of completion in the area of instruction from an instructor institute, workshop or school that is sponsored by a member of the Appraisal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full-time current appointment to the faculty of an accredited college;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2040.4(5)</w:t>
      </w:r>
      <w:r>
        <w:rPr>
          <w:rFonts w:ascii="Times New Roman" w:hAnsi="Times New Roman"/>
          <w:b w:val="false"/>
          <w:i w:val="false"/>
          <w:color w:val="000000"/>
          <w:sz w:val="22"/>
        </w:rPr>
        <w:t> </w:t>
      </w:r>
      <w:r>
        <w:rPr>
          <w:rFonts w:ascii="Times New Roman" w:hAnsi="Times New Roman"/>
          <w:b w:val="false"/>
          <w:i w:val="false"/>
          <w:color w:val="000000"/>
          <w:sz w:val="22"/>
        </w:rPr>
        <w:t>An instructor may demonstrate in-depth knowledge of the program’s subject matter by meeting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with a major in a field of study directly related to the subject matter of the course the instructor proposes to teach, such as business, economics, accounting, real estate or finance;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 bachelor’s degree or higher from an accredited college and have five years of appraisal experience related to the subject matter of the course the instructor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generally recognized professional real property appraisal designation or be a sponsor member of the Appraisal Foundation;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as the board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2040.4(6)</w:t>
      </w:r>
      <w:r>
        <w:rPr>
          <w:rFonts w:ascii="Times New Roman" w:hAnsi="Times New Roman"/>
          <w:b w:val="false"/>
          <w:i w:val="false"/>
          <w:color w:val="000000"/>
          <w:sz w:val="22"/>
        </w:rPr>
        <w:t> </w:t>
      </w:r>
      <w:r>
        <w:rPr>
          <w:rFonts w:ascii="Times New Roman" w:hAnsi="Times New Roman"/>
          <w:b w:val="false"/>
          <w:i w:val="false"/>
          <w:color w:val="000000"/>
          <w:sz w:val="22"/>
        </w:rPr>
        <w:t>Only AQB-certified USPAP instructors, listed on the website of the Appraisal Foundation may teach the National USPAP courses, or the AQB-approved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2040.4(7)</w:t>
      </w:r>
      <w:r>
        <w:rPr>
          <w:rFonts w:ascii="Times New Roman" w:hAnsi="Times New Roman"/>
          <w:b w:val="false"/>
          <w:i w:val="false"/>
          <w:color w:val="000000"/>
          <w:sz w:val="22"/>
        </w:rPr>
        <w:t> </w:t>
      </w:r>
      <w:r>
        <w:rPr>
          <w:rFonts w:ascii="Times New Roman" w:hAnsi="Times New Roman"/>
          <w:b w:val="false"/>
          <w:i w:val="false"/>
          <w:color w:val="000000"/>
          <w:sz w:val="22"/>
        </w:rPr>
        <w:t>Course content and materials will be accurate, consistent with currently accepted standards relating to the program’s subject matter and updated no later than 30 days after the effective date of a change in standards, laws,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2040.4(8)</w:t>
      </w:r>
      <w:r>
        <w:rPr>
          <w:rFonts w:ascii="Times New Roman" w:hAnsi="Times New Roman"/>
          <w:b w:val="false"/>
          <w:i w:val="false"/>
          <w:color w:val="000000"/>
          <w:sz w:val="22"/>
        </w:rPr>
        <w:t> </w:t>
      </w:r>
      <w:r>
        <w:rPr>
          <w:rFonts w:ascii="Times New Roman" w:hAnsi="Times New Roman"/>
          <w:b w:val="false"/>
          <w:i w:val="false"/>
          <w:color w:val="000000"/>
          <w:sz w:val="22"/>
        </w:rPr>
        <w:t>Programs will have an appropriate means of written evaluation by participants. Evaluations will include the relevance of the materials, effectiveness of presentation, content, facilities, and such additional features as are appropriate to the nature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2040.4(9)</w:t>
      </w:r>
      <w:r>
        <w:rPr>
          <w:rFonts w:ascii="Times New Roman" w:hAnsi="Times New Roman"/>
          <w:b w:val="false"/>
          <w:i w:val="false"/>
          <w:color w:val="000000"/>
          <w:sz w:val="22"/>
        </w:rPr>
        <w:t> </w:t>
      </w:r>
      <w:r>
        <w:rPr>
          <w:rFonts w:ascii="Times New Roman" w:hAnsi="Times New Roman"/>
          <w:b w:val="false"/>
          <w:i w:val="false"/>
          <w:color w:val="000000"/>
          <w:sz w:val="22"/>
        </w:rPr>
        <w:t>No part of any course will be used to solicit memberships in organizations, recruit appraisers for affiliation with any organization or advertise the merits of any organization or sell any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2040.4(10)</w:t>
      </w:r>
      <w:r>
        <w:rPr>
          <w:rFonts w:ascii="Times New Roman" w:hAnsi="Times New Roman"/>
          <w:b w:val="false"/>
          <w:i w:val="false"/>
          <w:color w:val="000000"/>
          <w:sz w:val="22"/>
        </w:rPr>
        <w:t> </w:t>
      </w:r>
      <w:r>
        <w:rPr>
          <w:rFonts w:ascii="Times New Roman" w:hAnsi="Times New Roman"/>
          <w:b w:val="false"/>
          <w:i w:val="false"/>
          <w:color w:val="000000"/>
          <w:sz w:val="22"/>
        </w:rPr>
        <w:t>Providers will clearly inform prospective participants of the number of credit hours preapproved by the board for each program and all applicable policies concerning registration, payment, refunds, attendance obligations, and examination 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2040.4(11)</w:t>
      </w:r>
      <w:r>
        <w:rPr>
          <w:rFonts w:ascii="Times New Roman" w:hAnsi="Times New Roman"/>
          <w:b w:val="false"/>
          <w:i w:val="false"/>
          <w:color w:val="000000"/>
          <w:sz w:val="22"/>
        </w:rPr>
        <w:t> </w:t>
      </w:r>
      <w:r>
        <w:rPr>
          <w:rFonts w:ascii="Times New Roman" w:hAnsi="Times New Roman"/>
          <w:b w:val="false"/>
          <w:i w:val="false"/>
          <w:color w:val="000000"/>
          <w:sz w:val="22"/>
        </w:rPr>
        <w:t>Procedures will be in place to monitor whether the person receiving credit hours is the person who attended or completed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2040.4(12)</w:t>
      </w:r>
      <w:r>
        <w:rPr>
          <w:rFonts w:ascii="Times New Roman" w:hAnsi="Times New Roman"/>
          <w:b w:val="false"/>
          <w:i w:val="false"/>
          <w:color w:val="000000"/>
          <w:sz w:val="22"/>
        </w:rPr>
        <w:t> </w:t>
      </w:r>
      <w:r>
        <w:rPr>
          <w:rFonts w:ascii="Times New Roman" w:hAnsi="Times New Roman"/>
          <w:b w:val="false"/>
          <w:i w:val="false"/>
          <w:color w:val="000000"/>
          <w:sz w:val="22"/>
        </w:rPr>
        <w:t>Providers will be accessible to students during normal business hours to answer questions and provide assistance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will comply with or demonstrate exemption from the provisions of Iowa Code sections </w:t>
      </w:r>
      <w:hyperlink r:id="rId6">
        <w:r>
          <w:rPr>
            <w:rStyle w:val="Hyperlink"/>
            <w:rFonts w:ascii="Times New Roman" w:hAnsi="Times New Roman"/>
            <w:b w:val="false"/>
            <w:i w:val="false"/>
            <w:color w:val="000000"/>
            <w:sz w:val="22"/>
          </w:rPr>
          <w:t>714.14 to 714.25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2040.4(14)</w:t>
      </w:r>
      <w:r>
        <w:rPr>
          <w:rFonts w:ascii="Times New Roman" w:hAnsi="Times New Roman"/>
          <w:b w:val="false"/>
          <w:i w:val="false"/>
          <w:color w:val="000000"/>
          <w:sz w:val="22"/>
        </w:rPr>
        <w:t> </w:t>
      </w:r>
      <w:r>
        <w:rPr>
          <w:rFonts w:ascii="Times New Roman" w:hAnsi="Times New Roman"/>
          <w:b w:val="false"/>
          <w:i w:val="false"/>
          <w:color w:val="000000"/>
          <w:sz w:val="22"/>
        </w:rPr>
        <w:t>Providers will designate a coordinator in charge of each program who will act as the board’s contact on all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2040.4(15)</w:t>
      </w:r>
      <w:r>
        <w:rPr>
          <w:rFonts w:ascii="Times New Roman" w:hAnsi="Times New Roman"/>
          <w:b w:val="false"/>
          <w:i w:val="false"/>
          <w:color w:val="000000"/>
          <w:sz w:val="22"/>
        </w:rPr>
        <w:t> </w:t>
      </w:r>
      <w:r>
        <w:rPr>
          <w:rFonts w:ascii="Times New Roman" w:hAnsi="Times New Roman"/>
          <w:b w:val="false"/>
          <w:i w:val="false"/>
          <w:color w:val="000000"/>
          <w:sz w:val="22"/>
        </w:rPr>
        <w:t>Programs will not offer more than eight credit hours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2040.4(16)</w:t>
      </w:r>
      <w:r>
        <w:rPr>
          <w:rFonts w:ascii="Times New Roman" w:hAnsi="Times New Roman"/>
          <w:b w:val="false"/>
          <w:i w:val="false"/>
          <w:color w:val="000000"/>
          <w:sz w:val="22"/>
        </w:rPr>
        <w:t> </w:t>
      </w:r>
      <w:r>
        <w:rPr>
          <w:rFonts w:ascii="Times New Roman" w:hAnsi="Times New Roman"/>
          <w:b w:val="false"/>
          <w:i w:val="false"/>
          <w:color w:val="000000"/>
          <w:sz w:val="22"/>
        </w:rPr>
        <w:t>Providers will not provide any information to the board, the public, or prospective students that is misleading in nature. For example, providers will not refer to themselves as a “college” or “university” unless qualified as such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2040.4(17)</w:t>
      </w:r>
      <w:r>
        <w:rPr>
          <w:rFonts w:ascii="Times New Roman" w:hAnsi="Times New Roman"/>
          <w:b w:val="false"/>
          <w:i w:val="false"/>
          <w:color w:val="000000"/>
          <w:sz w:val="22"/>
        </w:rPr>
        <w:t> </w:t>
      </w:r>
      <w:r>
        <w:rPr>
          <w:rFonts w:ascii="Times New Roman" w:hAnsi="Times New Roman"/>
          <w:b w:val="false"/>
          <w:i w:val="false"/>
          <w:color w:val="000000"/>
          <w:sz w:val="22"/>
        </w:rPr>
        <w:t>Providers will establish and maintain for a period of five years complete and detailed records on the programs successfully attended by each Iowa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2040.4(18)</w:t>
      </w:r>
      <w:r>
        <w:rPr>
          <w:rFonts w:ascii="Times New Roman" w:hAnsi="Times New Roman"/>
          <w:b w:val="false"/>
          <w:i w:val="false"/>
          <w:color w:val="000000"/>
          <w:sz w:val="22"/>
        </w:rPr>
        <w:t> </w:t>
      </w:r>
      <w:r>
        <w:rPr>
          <w:rFonts w:ascii="Times New Roman" w:hAnsi="Times New Roman"/>
          <w:b w:val="false"/>
          <w:i w:val="false"/>
          <w:color w:val="000000"/>
          <w:sz w:val="22"/>
        </w:rPr>
        <w:t>Providers will issue an individual certificate of attendance to each participant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2040.4(19)</w:t>
      </w:r>
      <w:r>
        <w:rPr>
          <w:rFonts w:ascii="Times New Roman" w:hAnsi="Times New Roman"/>
          <w:b w:val="false"/>
          <w:i w:val="false"/>
          <w:color w:val="000000"/>
          <w:sz w:val="22"/>
        </w:rPr>
        <w:t> </w:t>
      </w:r>
      <w:r>
        <w:rPr>
          <w:rFonts w:ascii="Times New Roman" w:hAnsi="Times New Roman"/>
          <w:b w:val="false"/>
          <w:i w:val="false"/>
          <w:color w:val="000000"/>
          <w:sz w:val="22"/>
        </w:rPr>
        <w:t>Program providers and instructors are solely responsible for the accuracy of all program materials, instruction, and examinations. Board approval of a provider or program is not an assurance or warranty of accuracy and will not be explicitly or implicitly marketed or advertised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2040.4(20)</w:t>
      </w:r>
      <w:r>
        <w:rPr>
          <w:rFonts w:ascii="Times New Roman" w:hAnsi="Times New Roman"/>
          <w:b w:val="false"/>
          <w:i w:val="false"/>
          <w:color w:val="000000"/>
          <w:sz w:val="22"/>
        </w:rPr>
        <w:t> </w:t>
      </w:r>
      <w:r>
        <w:rPr>
          <w:rFonts w:ascii="Times New Roman" w:hAnsi="Times New Roman"/>
          <w:b w:val="false"/>
          <w:i w:val="false"/>
          <w:color w:val="000000"/>
          <w:sz w:val="22"/>
        </w:rPr>
        <w:t>Providers will apply for approval using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2040.4(21)</w:t>
      </w:r>
      <w:r>
        <w:rPr>
          <w:rFonts w:ascii="Times New Roman" w:hAnsi="Times New Roman"/>
          <w:b w:val="false"/>
          <w:i w:val="false"/>
          <w:color w:val="000000"/>
          <w:sz w:val="22"/>
        </w:rPr>
        <w:t> </w:t>
      </w:r>
      <w:r>
        <w:rPr>
          <w:rFonts w:ascii="Times New Roman" w:hAnsi="Times New Roman"/>
          <w:b w:val="false"/>
          <w:i w:val="false"/>
          <w:color w:val="000000"/>
          <w:sz w:val="22"/>
        </w:rPr>
        <w:t>Providers will notify the board within 30 days of a change in the provider’s primary contact, name, business address, or any other change that may affect the provider’s tax identification number or bond obligations with the Iowa college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Acceptable distance education courses. </w:t>
      </w:r>
      <w:r>
        <w:rPr>
          <w:rFonts w:ascii="Times New Roman" w:hAnsi="Times New Roman"/>
          <w:b w:val="false"/>
          <w:i w:val="false"/>
          <w:color w:val="000000"/>
          <w:sz w:val="22"/>
        </w:rPr>
        <w:t>Distance education involves geographical separation of student and instructor. A distance education course is acceptable to meet class hour obligations if it complies with the generic education criteria in the current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Applications for approval of programs. </w:t>
      </w:r>
      <w:r>
        <w:rPr>
          <w:rFonts w:ascii="Times New Roman" w:hAnsi="Times New Roman"/>
          <w:b w:val="false"/>
          <w:i w:val="false"/>
          <w:color w:val="000000"/>
          <w:sz w:val="22"/>
        </w:rPr>
        <w:t>Applications for approval of programs will be submitted through the board’s online system. All non-AQB courses are approved for 24 months, including the month of approval. Programs approved for distance education or by the AQB may be approved by the board. Board approval of a program will only be valid for the shortest period of time such a program is approved by either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2040.6(1)</w:t>
      </w:r>
      <w:r>
        <w:rPr>
          <w:rFonts w:ascii="Times New Roman" w:hAnsi="Times New Roman"/>
          <w:b w:val="false"/>
          <w:i w:val="false"/>
          <w:color w:val="000000"/>
          <w:sz w:val="22"/>
        </w:rPr>
        <w:t> </w:t>
      </w:r>
      <w:r>
        <w:rPr>
          <w:rFonts w:ascii="Times New Roman" w:hAnsi="Times New Roman"/>
          <w:b w:val="false"/>
          <w:i w:val="false"/>
          <w:color w:val="000000"/>
          <w:sz w:val="22"/>
        </w:rPr>
        <w:t>Approval will be obtained for each program separately. With the exception of hybrid courses, courses that are offered via more than one delivery method will require separate program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2040.6(2)</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$50 will be submitted for each program except for programs that are submitted for approval by the primary provider and that have been approved by the AQB through the AQB Course Approval Program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2040.6(3)</w:t>
      </w:r>
      <w:r>
        <w:rPr>
          <w:rFonts w:ascii="Times New Roman" w:hAnsi="Times New Roman"/>
          <w:b w:val="false"/>
          <w:i w:val="false"/>
          <w:color w:val="000000"/>
          <w:sz w:val="22"/>
        </w:rPr>
        <w:t> </w:t>
      </w:r>
      <w:r>
        <w:rPr>
          <w:rFonts w:ascii="Times New Roman" w:hAnsi="Times New Roman"/>
          <w:b w:val="false"/>
          <w:i w:val="false"/>
          <w:color w:val="000000"/>
          <w:sz w:val="22"/>
        </w:rPr>
        <w:t>All online applications and attachments will be submitted for approval at least 30 days prior to the first offering of each program or, if renewing, within 30 days of the course expiration date. The board will approve or deny each program, in whole or part, within 15 days of the date the board receives a fully completed application. Upon approval of an application for course offering, the board will specify the number of credit hours allowed. Payments for course program applications will be made within 30 calendar days of board approval or the application approval may be reversed.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2040.6(4)</w:t>
      </w:r>
      <w:r>
        <w:rPr>
          <w:rFonts w:ascii="Times New Roman" w:hAnsi="Times New Roman"/>
          <w:b w:val="false"/>
          <w:i w:val="false"/>
          <w:color w:val="000000"/>
          <w:sz w:val="22"/>
        </w:rPr>
        <w:t> </w:t>
      </w:r>
      <w:r>
        <w:rPr>
          <w:rFonts w:ascii="Times New Roman" w:hAnsi="Times New Roman"/>
          <w:b w:val="false"/>
          <w:i w:val="false"/>
          <w:color w:val="000000"/>
          <w:sz w:val="22"/>
        </w:rPr>
        <w:t>Applications for non-AQB CAP courses will request information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Learning objectives that specify the level of knowledge or competency the student should demonstrate upon completing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for all guest speakers or instructors and such documentation as is necessary to verify compliance with the instructor qualifications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program materials or, in the case of a one-time course offering, a statement that attests all instructor and student materials will be submitted to the board within ten calendar days of the course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examinations and a description of all grading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diagnostic assessment method(s) used when examinations are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information as needed to verify compliance with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for the program’s coordinator;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board deems reasonably needed for informed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2040.6(5)</w:t>
      </w:r>
      <w:r>
        <w:rPr>
          <w:rFonts w:ascii="Times New Roman" w:hAnsi="Times New Roman"/>
          <w:b w:val="false"/>
          <w:i w:val="false"/>
          <w:color w:val="000000"/>
          <w:sz w:val="22"/>
        </w:rPr>
        <w:t> </w:t>
      </w:r>
      <w:r>
        <w:rPr>
          <w:rFonts w:ascii="Times New Roman" w:hAnsi="Times New Roman"/>
          <w:b w:val="false"/>
          <w:i w:val="false"/>
          <w:color w:val="000000"/>
          <w:sz w:val="22"/>
        </w:rPr>
        <w:t>Application forms for courses that are AQB CAP-approved will include information as deemed necessary for accurate documentation but may be more limited than information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2040.6(6)</w:t>
      </w:r>
      <w:r>
        <w:rPr>
          <w:rFonts w:ascii="Times New Roman" w:hAnsi="Times New Roman"/>
          <w:b w:val="false"/>
          <w:i w:val="false"/>
          <w:color w:val="000000"/>
          <w:sz w:val="22"/>
        </w:rPr>
        <w:t> </w:t>
      </w:r>
      <w:r>
        <w:rPr>
          <w:rFonts w:ascii="Times New Roman" w:hAnsi="Times New Roman"/>
          <w:b w:val="false"/>
          <w:i w:val="false"/>
          <w:color w:val="000000"/>
          <w:sz w:val="22"/>
        </w:rPr>
        <w:t>The board will assign each provider and program a number. This number will be placed on all correspondence with the board, all subsequent applications by the same provider, and all certificates of attendance issued to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Waiver of application fees. </w:t>
      </w:r>
      <w:r>
        <w:rPr>
          <w:rFonts w:ascii="Times New Roman" w:hAnsi="Times New Roman"/>
          <w:b w:val="false"/>
          <w:i w:val="false"/>
          <w:color w:val="000000"/>
          <w:sz w:val="22"/>
        </w:rPr>
        <w:t>Application fees may be waived for approved programs sponsored by a governmental entity when the program is offered at no cost or at a nominal cost to participants. A request for waiver of application fees should be made by the provider or certificate holder at the time the application is filed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Authority to approve education. </w:t>
      </w:r>
      <w:r>
        <w:rPr>
          <w:rFonts w:ascii="Times New Roman" w:hAnsi="Times New Roman"/>
          <w:b w:val="false"/>
          <w:i w:val="false"/>
          <w:color w:val="000000"/>
          <w:sz w:val="22"/>
        </w:rPr>
        <w:t>The executive officer has the authority to approve or deny education applications subject to the applicant’s right to a hearing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481—2040.9</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preapproval of continuing education programs. </w:t>
      </w:r>
      <w:r>
        <w:rPr>
          <w:rFonts w:ascii="Times New Roman" w:hAnsi="Times New Roman"/>
          <w:b w:val="false"/>
          <w:i w:val="false"/>
          <w:color w:val="000000"/>
          <w:sz w:val="22"/>
        </w:rPr>
        <w:t>An appraiser seeking credit for attendance and participation in a program that is to be conducted by a provider not accredited or otherwise approved by the board will apply for approval to the board at least 15 days in advance of the commencement of the activity. The board will approve or deny the application in writing. The online application for prior approval of a continuing education activity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and hour-by-hour outline of the program, course or activity;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 of program;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Principal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481—2040.10</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Appraiser request for postapproval of continuing education program. </w:t>
      </w:r>
      <w:r>
        <w:rPr>
          <w:rFonts w:ascii="Times New Roman" w:hAnsi="Times New Roman"/>
          <w:b w:val="false"/>
          <w:i w:val="false"/>
          <w:color w:val="000000"/>
          <w:sz w:val="22"/>
        </w:rPr>
        <w:t>An appraiser seeking credit for attendance and participation in a program that was not conducted by an approved provider or approved by the licensing authority in another state or otherwise approved by the board may submit a request for credit for the program. Within 15 days after receipt of the request, the board will advise the requester in writing whether the program is approved and the number of hours allowed. Appraisers not complying with the obligation of this rule may be denied credit for the program. Application for postapproval of a continuing education program will include the following fee and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fee of $25;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firm, organization or person conducting the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Location of the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Title of program and description of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Date(s) of program;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Student and instructor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Principal instructor(s);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Review of provider or program. </w:t>
      </w:r>
      <w:r>
        <w:rPr>
          <w:rFonts w:ascii="Times New Roman" w:hAnsi="Times New Roman"/>
          <w:b w:val="false"/>
          <w:i w:val="false"/>
          <w:color w:val="000000"/>
          <w:sz w:val="22"/>
        </w:rPr>
        <w:t>The board on its own motion or upon receipt of a complaint or negative evaluation may monitor or review any approved program or provider and may withdraw approval of the provider or program and disallow all or any part of the approved hours granted to the provider based on evidence that the obligations of this chapter have not been met. The provider, as a condition of approval, agrees to allow the board or its authorized representatives to monitor ongoing compliance with board rules through means including, but not limited to, unannounced attendance 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481—2040.12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Hearings. </w:t>
      </w:r>
      <w:r>
        <w:rPr>
          <w:rFonts w:ascii="Times New Roman" w:hAnsi="Times New Roman"/>
          <w:b w:val="false"/>
          <w:i w:val="false"/>
          <w:color w:val="000000"/>
          <w:sz w:val="22"/>
        </w:rPr>
        <w:t>Any person aggrieved by board action related to this chapter may request a contested case hearing before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543D.16</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7847C</w:t>
      </w:r>
      <w:r>
        <w:rPr>
          <w:rFonts w:ascii="Times New Roman" w:hAnsi="Times New Roman"/>
          <w:b w:val="false"/>
          <w:i w:val="false"/>
          <w:color w:val="000000"/>
          <w:sz w:val="21"/>
        </w:rPr>
        <w:t xml:space="preserve"> (Notice ARC 7267C,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pdf" Type="http://schemas.openxmlformats.org/officeDocument/2006/relationships/hyperlink" Id="rId5"/>
    <Relationship TargetMode="External" Target="https://www.legis.iowa.gov/docs/ico/chapter/714.14-25.pdf" Type="http://schemas.openxmlformats.org/officeDocument/2006/relationships/hyperlink" Id="rId6"/>
    <Relationship TargetMode="External" Target="https://www.legis.iowa.gov/docs/ico/chapter/543D.5.pdf" Type="http://schemas.openxmlformats.org/officeDocument/2006/relationships/hyperlink" Id="rId7"/>
    <Relationship TargetMode="External" Target="https://www.legis.iowa.gov/docs/ico/chapter/543D.9.pdf" Type="http://schemas.openxmlformats.org/officeDocument/2006/relationships/hyperlink" Id="rId8"/>
    <Relationship TargetMode="External" Target="https://www.legis.iowa.gov/docs/ico/chapter/543D.16.pdf" Type="http://schemas.openxmlformats.org/officeDocument/2006/relationships/hyperlink" Id="rId9"/>
    <Relationship TargetMode="External" Target="https://www.legis.iowa.gov/docs/ico/chapter/272C.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