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RECORDING AND REPORTING OCCUPATIONAL INJURIES AND ILLNESSES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9/24/86, Labor, Bureau of 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10/7/98, see 347—Ch 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7/9/25, see Labor Services Division[875] Ch 4]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6/19/29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 and scope.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chapter applies to public and private employers.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8113C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7/10/24, effective 6/19/24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7/9/25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481—204.2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First reports of injury.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report to the division of workers’ compensation is considered to be a report to the division of labor services. The division of workers’ compensation will forward all reports to the division of labor services.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8113C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7/10/24, effective 6/19/24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7/9/25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481—204.3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Recording and reporting regulations.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Except as noted in this rule, the federal Occupational Safety and Health Administration (OSHA) regulations at 29 CFR 1904.0 through 1904.46 as published at 66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6122 through 6135 (January 19, 2001) are adopted.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204.3(1)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amendments to 29 CFR 1904.0 through 1904.46 are adopted: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66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52031-52034 (October 12, 2001)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67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44047 (July 1, 2002)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67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77170 (December 17, 2002)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68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38606 (June 30, 2003)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79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56186 (September 18, 2014)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81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29691 (May 12, 2016)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81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31854 (May 20, 2016)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84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405 (January 25, 2019)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i.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84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21457 (May 14, 2019)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j.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85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8731 (February 18, 2020)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k.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88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47254 (July 21, 2023)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204.3(2)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addition to the reporting methods set forth in 29 CFR 1904.39(a), employers may make reports required by 29 CFR 1904.39 using at least one of the following methods: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Completing the incident report form and faxing or emailing the completed form to Iowa OSHA in the department of inspections, appeals, and licensing;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Calling 877.242.6742;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Visiting 6200 Park Avenue, Suite 100, Des Moines, Iowa.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8113C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7/10/24, effective 6/19/24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7/9/25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July 13, 1972; amended August 29, 1972, December 1, 1972, April 2, 1973,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February 28, 1975]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12/15/75, Notice 10/6/75—published 12/29/75, effective 2/4/76]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11/18/77, Notice 10/5/77—published 12/14/77, effective 1/20/78]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3/15/78, Notice 2/8/78—published 4/5/78, effective 5/15/78]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11/2/78, Notice 9/20/78—published 11/15/78, effective 12/22/78]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11/8/79—published 11/28/79, effective 1/1/80]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11/20/79—published 12/12/79, effective 11/20/79]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12/5/79—published 12/26/79, effective 12/5/79]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12/5/79—published 12/26/79, effective 1/1/80]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10/3/80, Notice 7/9/80—published 10/29/80, effective 12/3/80]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7/1/83, Notice 5/11/83—published 7/20/83, effective 9/1/83]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9/5/86—published 9/24/86, effective 9/24/86]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4/17/87, Notice 9/24/86—published 5/6/87, effective 6/10/87]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10/6/94 after Notice 7/6/94—published 10/26/94, effective 10/26/94]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1/21/00, Notice 8/25/99—published 2/9/00, effective 3/15/00]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12/19/01 after Notice 11/14/01—published 1/23/02, effective 1/1/02]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11/22/02—published 12/11/02, effective 1/1/03]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3/28/03, Notice 2/19/03—published 4/16/03, effective 5/21/03]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7/16/04 after Notice 6/9/04—published 8/4/04, effective 8/4/04]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1782C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1677C, IAB 10/15/14)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12/10/14, effective 1/14/15]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2688C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2615C, IAB 7/6/16)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8/31/16, effective 11/1/16]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4412C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4318C, IAB 2/27/19)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4/24/19, effective 5/29/19]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4640C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4520C, IAB 7/3/19)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8/28/19, effective 10/2/19]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5022C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4894C, IAB 2/12/20)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4/8/20, effective 5/13/20]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5158C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4996C, IAB 3/25/20)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8/26/20, effective 9/30/20]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6986C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6771C, IAB 12/28/22)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4/19/23, effective 5/24/23]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After Notice ARC 8113C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7941C, IAB 5/15/24)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7/10/24, effective 6/19/24]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7/9/25]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88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