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2037</w:t>
      </w:r>
    </w:p>
    <w:p>
      <w:pPr>
        <w:spacing w:before="0" w:after="0"/>
        <w:ind w:left="120"/>
        <w:jc w:val="center"/>
      </w:pPr>
      <w:r>
        <w:rPr>
          <w:rFonts w:ascii="Times New Roman" w:hAnsi="Times New Roman"/>
          <w:b w:val="false"/>
          <w:i w:val="false"/>
          <w:color w:val="000000"/>
          <w:sz w:val="21"/>
        </w:rPr>
        <w:t>INVESTIGATIONS AND DISCIPLINARY PROCEDURES</w:t>
      </w:r>
    </w:p>
    <w:p>
      <w:pPr>
        <w:spacing w:before="0" w:after="0"/>
        <w:ind w:left="120"/>
        <w:jc w:val="center"/>
      </w:pPr>
      <w:r>
        <w:rPr>
          <w:rFonts w:ascii="Times New Roman" w:hAnsi="Times New Roman"/>
          <w:b w:val="false"/>
          <w:i w:val="false"/>
          <w:color w:val="000000"/>
          <w:sz w:val="20"/>
        </w:rPr>
        <w:t>[Prior to 4/17/24, see 193F—Chapter 8]</w:t>
      </w:r>
    </w:p>
    <w:p>
      <w:pPr>
        <w:spacing w:before="0" w:after="0"/>
        <w:ind w:left="120"/>
        <w:jc w:val="center"/>
      </w:pPr>
      <w:r>
        <w:rPr>
          <w:rFonts w:ascii="Times New Roman" w:hAnsi="Times New Roman"/>
          <w:b w:val="false"/>
          <w:i w:val="false"/>
          <w:color w:val="000000"/>
          <w:sz w:val="20"/>
        </w:rPr>
        <w:t>[Prior to 6/10/26, see Real Estate Appraiser Examining Board[193F]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481—2037.1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Disciplinary action. </w:t>
      </w:r>
      <w:r>
        <w:rPr>
          <w:rFonts w:ascii="Times New Roman" w:hAnsi="Times New Roman"/>
          <w:b w:val="false"/>
          <w:i w:val="false"/>
          <w:color w:val="000000"/>
          <w:sz w:val="22"/>
        </w:rPr>
        <w:t>The real estate appraiser examining board has authority under applicable law to impose discipline for violations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481—2037.2</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board may initiate a licensee disciplinary investigation upon the board’s receipt of information suggesting that a licensee may have violated the licensee’s legal obligations under the Iowa Code or board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481—2037.3</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will abstain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need to be submitted to the board through the board’s online system. The board may also initiate its own complaints.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2037.4(1)</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which may be initiated by the board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2037.4(2)</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2037.4(3)</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Tips that are not complaints will be evaluated by the disciplinary committee but may not be assigned a case number or further investigated. Complaints that have been submitted and assigned a case number will be referred to the discipline committee. Final decisions on complaints will be made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481—2037.5</w:t>
      </w:r>
      <w:r>
        <w:rPr>
          <w:rFonts w:ascii="Times New Roman" w:hAnsi="Times New Roman"/>
          <w:b/>
          <w:i w:val="false"/>
          <w:color w:val="000000"/>
          <w:sz w:val="22"/>
        </w:rPr>
        <w:t xml:space="preserve">(272C,543D) </w:t>
      </w:r>
      <w:r>
        <w:rPr>
          <w:rFonts w:ascii="Times New Roman" w:hAnsi="Times New Roman"/>
          <w:b/>
          <w:i w:val="false"/>
          <w:color w:val="000000"/>
          <w:sz w:val="22"/>
        </w:rPr>
        <w:t xml:space="preserve">Case numbers. </w:t>
      </w:r>
      <w:r>
        <w:rPr>
          <w:rFonts w:ascii="Times New Roman" w:hAnsi="Times New Roman"/>
          <w:b w:val="false"/>
          <w:i w:val="false"/>
          <w:color w:val="000000"/>
          <w:sz w:val="22"/>
        </w:rPr>
        <w:t>Whether based on written complaint received by the board or complaint initiated by the board, all complaint files will be tracked by a case numbering system. Once a case file number is assigned to a complaint, all persons communicating with the board regarding that complaint are encouraged to include the case file number to facilitate accurate records and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481—2037.6</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2037.6(1)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The board chairperson will annually appoint two to three members of the board to serve on the board’s disciplinary committee. The disciplinary committee is a purely advisory body that reviews complaint files referred by the board’s executive officer, generally supervises the investigation of complaints, and makes recommendations to the full board on the disposition of complaints. Members of the committee will not personally investigate complaints, but they may review the investigative work product of others in formulating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2037.6(2)</w:t>
      </w:r>
      <w:r>
        <w:rPr>
          <w:rFonts w:ascii="Times New Roman" w:hAnsi="Times New Roman"/>
          <w:b w:val="false"/>
          <w:i w:val="false"/>
          <w:color w:val="000000"/>
          <w:sz w:val="22"/>
        </w:rPr>
        <w:t> </w:t>
      </w:r>
      <w:r>
        <w:rPr>
          <w:rFonts w:ascii="Times New Roman" w:hAnsi="Times New Roman"/>
          <w:b w:val="false"/>
          <w:i/>
          <w:color w:val="000000"/>
          <w:sz w:val="22"/>
        </w:rPr>
        <w:t xml:space="preserve">Screening of complaints. </w:t>
      </w:r>
      <w:r>
        <w:rPr>
          <w:rFonts w:ascii="Times New Roman" w:hAnsi="Times New Roman"/>
          <w:b w:val="false"/>
          <w:i w:val="false"/>
          <w:color w:val="000000"/>
          <w:sz w:val="22"/>
        </w:rPr>
        <w:t>All complaints presented to the board will be screened, evaluated and, where appropriate, investigated.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481—2037.7</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licensee, the committee may grant the licensee any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2037.7(1)</w:t>
      </w:r>
      <w:r>
        <w:rPr>
          <w:rFonts w:ascii="Times New Roman" w:hAnsi="Times New Roman"/>
          <w:b w:val="false"/>
          <w:i w:val="false"/>
          <w:color w:val="000000"/>
          <w:sz w:val="22"/>
        </w:rPr>
        <w:t> </w:t>
      </w:r>
      <w:r>
        <w:rPr>
          <w:rFonts w:ascii="Times New Roman" w:hAnsi="Times New Roman"/>
          <w:b w:val="false"/>
          <w:i w:val="false"/>
          <w:color w:val="000000"/>
          <w:sz w:val="22"/>
        </w:rPr>
        <w:t>Because disciplinary investigations are confidential, only the licensee’s legal representative may attend the information discussion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2037.7(2)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board members to participate in board decision making and to receive the advice of staff, licensees who desire to attend an informal discussion waive their right to seek disqualification of a board member or staff based solely on the board member’s or staff’s participation in an informal discussion. Licensees would not be waiving their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2037.7(3)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2037.7(4)</w:t>
      </w:r>
      <w:r>
        <w:rPr>
          <w:rFonts w:ascii="Times New Roman" w:hAnsi="Times New Roman"/>
          <w:b w:val="false"/>
          <w:i w:val="false"/>
          <w:color w:val="000000"/>
          <w:sz w:val="22"/>
        </w:rPr>
        <w:t> </w:t>
      </w:r>
      <w:r>
        <w:rPr>
          <w:rFonts w:ascii="Times New Roman" w:hAnsi="Times New Roman"/>
          <w:b w:val="false"/>
          <w:i w:val="false"/>
          <w:color w:val="000000"/>
          <w:sz w:val="22"/>
        </w:rPr>
        <w:t>The disciplinary committee, subject to board approval, may propose a consent order at the time of the informal discussion.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481—2037.8</w:t>
      </w:r>
      <w:r>
        <w:rPr>
          <w:rFonts w:ascii="Times New Roman" w:hAnsi="Times New Roman"/>
          <w:b/>
          <w:i w:val="false"/>
          <w:color w:val="000000"/>
          <w:sz w:val="22"/>
        </w:rPr>
        <w:t xml:space="preserve">(272C,543D) </w:t>
      </w:r>
      <w:r>
        <w:rPr>
          <w:rFonts w:ascii="Times New Roman" w:hAnsi="Times New Roman"/>
          <w:b/>
          <w:i w:val="false"/>
          <w:color w:val="000000"/>
          <w:sz w:val="22"/>
        </w:rPr>
        <w:t xml:space="preserve">Peer review committee (PRC). </w:t>
      </w:r>
      <w:r>
        <w:rPr>
          <w:rFonts w:ascii="Times New Roman" w:hAnsi="Times New Roman"/>
          <w:b w:val="false"/>
          <w:i w:val="false"/>
          <w:color w:val="000000"/>
          <w:sz w:val="22"/>
        </w:rPr>
        <w:t>A peer review committee may be appointed by the board to investigate a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481—2037.9</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2037.9(1)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The board may close a complaint file, with or without prior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2037.9(2)</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licensee when a complaint file is closed that informally cautions or educates the licensee about matters that could form the basis for disciplinary action in the future if corrective action is not taken by the licensee. Informal cautionary letters do not constitute disciplinary action, but the board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2037.9(3)</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that provides a basis to reassess the merits of the initial complaint. Complaint files may also be reopened when a complaint has been previously closed due to the lapse of the licensee’s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481—2037.10</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only be initiated by the affirmative vote of a majority of a quorum of the board at a public meeting. Board members who are disqualified will not be included in determining whether a quorum exists. If, for example, two members of the board are disqualified, three members of the board constitute a quorum of the remaining five board members for purposes of voting on the case in which the two members are disqualified. When three or more members of the board are disqualified or otherwise unavailable for any reason, the executive officer may request the special appointment of one or more substitute board members pursuant to Iowa Code section </w:t>
      </w:r>
      <w:hyperlink r:id="rId5">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481—2037.11</w:t>
      </w:r>
      <w:r>
        <w:rPr>
          <w:rFonts w:ascii="Times New Roman" w:hAnsi="Times New Roman"/>
          <w:b/>
          <w:i w:val="false"/>
          <w:color w:val="000000"/>
          <w:sz w:val="22"/>
        </w:rPr>
        <w:t xml:space="preserve">(543D) </w:t>
      </w:r>
      <w:r>
        <w:rPr>
          <w:rFonts w:ascii="Times New Roman" w:hAnsi="Times New Roman"/>
          <w:b/>
          <w:i w:val="false"/>
          <w:color w:val="000000"/>
          <w:sz w:val="22"/>
        </w:rPr>
        <w:t xml:space="preserve">Decisions. </w:t>
      </w:r>
      <w:r>
        <w:rPr>
          <w:rFonts w:ascii="Times New Roman" w:hAnsi="Times New Roman"/>
          <w:b w:val="false"/>
          <w:i w:val="false"/>
          <w:color w:val="000000"/>
          <w:sz w:val="22"/>
        </w:rPr>
        <w:t>The board will make findings of fact and conclusions of law, and set forth the board’s decision, order, or both in the case. The board’s decision may include, without limitation, any of the following outcomes, either individually or in combination: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Dismissing the charges;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Suspending or revoking the appraiser’s certification or associate’s registration as authorized by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Imposing civil penalties, the amount to be set at the discretion of the board but not exceeding $1,000 per violation. Civil penalties may be imposed for any of the disciplinary violations specified in Iowa Code section </w:t>
      </w:r>
      <w:hyperlink r:id="rId6">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for any repeat offenses;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Imposing a period of probation, either with or without conditions;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Obligating the licensee to undergo reexamination;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Obligating the licensee to take additional professional education, reeducation, or continuing education;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Issuing a citation and a warning;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Imposing desk review of the appraiser’s work product;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Issuing a consent order either with or without conditions;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Imposing consultation with one or more peer reviewers;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Revoking an appraiser’s eligibility to supervise;</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Compelling submission of monthly logs;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Placing limitations on a licensee’s practice, such as removing a licensee’s authority to act as an instructor; and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Imposing any other form of discipline authorized by a provision of law that the board, in its discretion, believes is warranted under the circumstances of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481—2037.12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Mitigating and aggravating factors. </w:t>
      </w:r>
      <w:r>
        <w:rPr>
          <w:rFonts w:ascii="Times New Roman" w:hAnsi="Times New Roman"/>
          <w:b w:val="false"/>
          <w:i w:val="false"/>
          <w:color w:val="000000"/>
          <w:sz w:val="22"/>
        </w:rPr>
        <w:t>Factors the board may consider when determining whether to impose discipline and what type of discipline to impose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2037.12(1)</w:t>
      </w:r>
      <w:r>
        <w:rPr>
          <w:rFonts w:ascii="Times New Roman" w:hAnsi="Times New Roman"/>
          <w:b w:val="false"/>
          <w:i w:val="false"/>
          <w:color w:val="000000"/>
          <w:sz w:val="22"/>
        </w:rPr>
        <w:t> </w:t>
      </w:r>
      <w:r>
        <w:rPr>
          <w:rFonts w:ascii="Times New Roman" w:hAnsi="Times New Roman"/>
          <w:b w:val="false"/>
          <w:i w:val="false"/>
          <w:color w:val="000000"/>
          <w:sz w:val="22"/>
        </w:rPr>
        <w:t>History and background of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was a registered associate appraiser or a certified appraiser at the time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disciplinary history or cautionary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Length of certification or registration at the time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Disciplinary history of current or prior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Degree of cooperation with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Extent of self-initiated reform or remedial action after the date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volume or geographic range of the respondent’s practice is, or was at the time of the violation, 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practiced with a lapsed, inactive, retired, suspended, revoked, or surrendered certificate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2037.12(2)</w:t>
      </w:r>
      <w:r>
        <w:rPr>
          <w:rFonts w:ascii="Times New Roman" w:hAnsi="Times New Roman"/>
          <w:b w:val="false"/>
          <w:i w:val="false"/>
          <w:color w:val="000000"/>
          <w:sz w:val="22"/>
        </w:rPr>
        <w:t> </w:t>
      </w:r>
      <w:r>
        <w:rPr>
          <w:rFonts w:ascii="Times New Roman" w:hAnsi="Times New Roman"/>
          <w:b w:val="false"/>
          <w:i w:val="false"/>
          <w:color w:val="000000"/>
          <w:sz w:val="22"/>
        </w:rPr>
        <w:t>Nature of violations,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Length of time since the date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isolated or recurring.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there are multiple violations or appraisals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in the nature of an error or situational carelessness or neglect, or reflects a more fundamental lack of familiarity with applicable appraisal methodology or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Indicia of bad faith, false statements, deceptive practices, or willful and intentional acts, whether within the circumstances of the violation or in the course of the board’s investigation or disciplinary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improper advocacy or other violation of the USPAP ethics rule or of Iowa Code section </w:t>
      </w:r>
      <w:hyperlink r:id="rId8">
        <w:r>
          <w:rPr>
            <w:rStyle w:val="Hyperlink"/>
            <w:rFonts w:ascii="Times New Roman" w:hAnsi="Times New Roman"/>
            <w:b w:val="false"/>
            <w:i w:val="false"/>
            <w:color w:val="000000"/>
            <w:sz w:val="22"/>
          </w:rPr>
          <w:t>543D.18</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543D.18A(1)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 or standard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practiced outside the scope of practice authorized by respondent’s certification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relates to the respondent’s supervisory role, the respondent’s individual appraisal practice,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2037.12(3)</w:t>
      </w:r>
      <w:r>
        <w:rPr>
          <w:rFonts w:ascii="Times New Roman" w:hAnsi="Times New Roman"/>
          <w:b w:val="false"/>
          <w:i w:val="false"/>
          <w:color w:val="000000"/>
          <w:sz w:val="22"/>
        </w:rPr>
        <w:t> </w:t>
      </w:r>
      <w:r>
        <w:rPr>
          <w:rFonts w:ascii="Times New Roman" w:hAnsi="Times New Roman"/>
          <w:b w:val="false"/>
          <w:i w:val="false"/>
          <w:color w:val="000000"/>
          <w:sz w:val="22"/>
        </w:rPr>
        <w:t>Interest of the public,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Degree of financial or other harm to a client, consumer, lending institution,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Risk of harm, whether or not the violation caused actual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Economic or other benefit gained by respondent or by others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Deterrent impact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issued a corrected appraisal report when warranted.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481—2037.13</w:t>
      </w:r>
      <w:r>
        <w:rPr>
          <w:rFonts w:ascii="Times New Roman" w:hAnsi="Times New Roman"/>
          <w:b/>
          <w:i w:val="false"/>
          <w:color w:val="000000"/>
          <w:sz w:val="22"/>
        </w:rPr>
        <w:t xml:space="preserve">(272C,543D)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The board may accept the voluntary surrender of a license to resolve a pending disciplinary contested case or pending disciplinary investigation. The board will not accept a voluntary surrender of a license to resolve a pending disciplinary investigation unless a statement of charges is filed along with the order accepting the voluntary surrender. Such voluntary surrender is considered disciplinary action and will be published in the same manner as is applicable to any other form of disciplinary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481—2037.14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Reinstatement. </w:t>
      </w:r>
      <w:r>
        <w:rPr>
          <w:rFonts w:ascii="Times New Roman" w:hAnsi="Times New Roman"/>
          <w:b w:val="false"/>
          <w:i w:val="false"/>
          <w:color w:val="000000"/>
          <w:sz w:val="22"/>
        </w:rPr>
        <w:t>The following provisions apply to license reinstatement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2037.14(1)</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applicant’s request to appear informally before the board prior to the issuance of a notice of hearing on an application to reinstate if the applicant requests an informal appearance in the application and agrees not to seek to disqualify, on the ground of personal investigation,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2037.14(2)</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10">
        <w:r>
          <w:rPr>
            <w:rStyle w:val="Hyperlink"/>
            <w:rFonts w:ascii="Times New Roman" w:hAnsi="Times New Roman"/>
            <w:b w:val="false"/>
            <w:i w:val="false"/>
            <w:color w:val="000000"/>
            <w:sz w:val="22"/>
          </w:rPr>
          <w:t>481—2037.14</w:t>
        </w:r>
      </w:hyperlink>
      <w:r>
        <w:rPr>
          <w:rFonts w:ascii="Times New Roman" w:hAnsi="Times New Roman"/>
          <w:b w:val="false"/>
          <w:i w:val="false"/>
          <w:color w:val="000000"/>
          <w:sz w:val="22"/>
        </w:rPr>
        <w:t>(272C,543D).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2037.14(3)</w:t>
      </w:r>
      <w:r>
        <w:rPr>
          <w:rFonts w:ascii="Times New Roman" w:hAnsi="Times New Roman"/>
          <w:b w:val="false"/>
          <w:i w:val="false"/>
          <w:color w:val="000000"/>
          <w:sz w:val="22"/>
        </w:rPr>
        <w:t> </w:t>
      </w:r>
      <w:r>
        <w:rPr>
          <w:rFonts w:ascii="Times New Roman" w:hAnsi="Times New Roman"/>
          <w:b w:val="false"/>
          <w:i w:val="false"/>
          <w:color w:val="000000"/>
          <w:sz w:val="22"/>
        </w:rPr>
        <w:t>The board will not grant an application for reinstatement when the initial order that revoked, suspended or placed limitations on the license, denied license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2037.14(4)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 and national criminal history check may be performed on any applicant applying to reinstate registration or credential consistent with Iowa Code section </w:t>
      </w:r>
      <w:hyperlink r:id="rId11">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543D.18</w:t>
        </w:r>
      </w:hyperlink>
      <w:r>
        <w:rPr>
          <w:rFonts w:ascii="Times New Roman" w:hAnsi="Times New Roman"/>
          <w:b w:val="false"/>
          <w:i w:val="false"/>
          <w:color w:val="000000"/>
          <w:sz w:val="22"/>
        </w:rPr>
        <w:t xml:space="preserve"> and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7844C</w:t>
      </w:r>
      <w:r>
        <w:rPr>
          <w:rFonts w:ascii="Times New Roman" w:hAnsi="Times New Roman"/>
          <w:b w:val="false"/>
          <w:i w:val="false"/>
          <w:color w:val="000000"/>
          <w:sz w:val="21"/>
        </w:rPr>
        <w:t xml:space="preserve"> (Notice ARC 7264C,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1.pdf" Type="http://schemas.openxmlformats.org/officeDocument/2006/relationships/hyperlink" Id="rId5"/>
    <Relationship TargetMode="External" Target="https://www.legis.iowa.gov/docs/ico/chapter/543D.17.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3D.18.pdf" Type="http://schemas.openxmlformats.org/officeDocument/2006/relationships/hyperlink" Id="rId8"/>
    <Relationship TargetMode="External" Target="https://www.legis.iowa.gov/docs/ico/chapter/543D.18A.pdf" Type="http://schemas.openxmlformats.org/officeDocument/2006/relationships/hyperlink" Id="rId9"/>
    <Relationship TargetMode="External" Target="https://www.legis.iowa.gov/docs/iac/rule/481.2037.14.pdf" Type="http://schemas.openxmlformats.org/officeDocument/2006/relationships/hyperlink" Id="rId10"/>
    <Relationship TargetMode="External" Target="https://www.legis.iowa.gov/docs/ico/chapter/543D.22.pdf" Type="http://schemas.openxmlformats.org/officeDocument/2006/relationships/hyperlink" Id="rId11"/>
    <Relationship TargetMode="External" Target="https://www.legis.iowa.gov/docs/ico/chapter/543D.5.pdf" Type="http://schemas.openxmlformats.org/officeDocument/2006/relationships/hyperlink" Id="rId12"/>
    <Relationship TargetMode="External" Target="https://www.legis.iowa.gov/docs/ico/chapter/543D.17.pdf" Type="http://schemas.openxmlformats.org/officeDocument/2006/relationships/hyperlink" Id="rId13"/>
    <Relationship TargetMode="External" Target="https://www.legis.iowa.gov/docs/ico/chapter/543D.18.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C.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