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2033</w:t>
      </w:r>
    </w:p>
    <w:p>
      <w:pPr>
        <w:spacing w:before="0" w:after="0"/>
        <w:ind w:left="120"/>
        <w:jc w:val="center"/>
      </w:pPr>
      <w:r>
        <w:rPr>
          <w:rFonts w:ascii="Times New Roman" w:hAnsi="Times New Roman"/>
          <w:b w:val="false"/>
          <w:i w:val="false"/>
          <w:color w:val="000000"/>
          <w:sz w:val="21"/>
        </w:rPr>
        <w:t>GENERAL PROVISIONS FOR EXAMINATIONS</w:t>
      </w:r>
    </w:p>
    <w:p>
      <w:pPr>
        <w:spacing w:before="0" w:after="0"/>
        <w:ind w:left="120"/>
        <w:jc w:val="center"/>
      </w:pPr>
      <w:r>
        <w:rPr>
          <w:rFonts w:ascii="Times New Roman" w:hAnsi="Times New Roman"/>
          <w:b w:val="false"/>
          <w:i w:val="false"/>
          <w:color w:val="000000"/>
          <w:sz w:val="20"/>
        </w:rPr>
        <w:t>[Prior to 6/10/26, see Real Estate Appraiser Examining Board[193F]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481—2033.1</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Examinations. </w:t>
      </w:r>
      <w:r>
        <w:rPr>
          <w:rFonts w:ascii="Times New Roman" w:hAnsi="Times New Roman"/>
          <w:b w:val="false"/>
          <w:i w:val="false"/>
          <w:color w:val="000000"/>
          <w:sz w:val="22"/>
        </w:rPr>
        <w:t>Applicants for a license from the board need to take the examination from the board-approved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481—2033.2</w:t>
      </w:r>
      <w:r>
        <w:rPr>
          <w:rFonts w:ascii="Times New Roman" w:hAnsi="Times New Roman"/>
          <w:b/>
          <w:i w:val="false"/>
          <w:color w:val="000000"/>
          <w:sz w:val="22"/>
        </w:rPr>
        <w:t xml:space="preserve">(543D) </w:t>
      </w:r>
      <w:r>
        <w:rPr>
          <w:rFonts w:ascii="Times New Roman" w:hAnsi="Times New Roman"/>
          <w:b/>
          <w:i w:val="false"/>
          <w:color w:val="000000"/>
          <w:sz w:val="22"/>
        </w:rPr>
        <w:t xml:space="preserve">Conduct of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the appraisal certification examinations in Iowa, or be subject to the imposition of other sanctions that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2033.2(2)</w:t>
      </w:r>
      <w:r>
        <w:rPr>
          <w:rFonts w:ascii="Times New Roman" w:hAnsi="Times New Roman"/>
          <w:b w:val="false"/>
          <w:i w:val="false"/>
          <w:color w:val="000000"/>
          <w:sz w:val="22"/>
        </w:rPr>
        <w:t> </w:t>
      </w:r>
      <w:r>
        <w:rPr>
          <w:rFonts w:ascii="Times New Roman" w:hAnsi="Times New Roman"/>
          <w:b w:val="false"/>
          <w:i w:val="false"/>
          <w:color w:val="000000"/>
          <w:sz w:val="22"/>
        </w:rPr>
        <w:t>Conduct that subverts or attempts to subvert the examination process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security of the examination materials, such as removing from the examination room any of the examination materials; reproducing or reconstructing any portion of the examination; aiding by any means in the reproduction or reconstruction of any portion of the examination; selling, distributing, buying, receiving, or having unauthorized possession of any portion of a future, current, or previously administered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standard of test administration, such as communicating with any other examination candidate during the administration of the examination; copying answers from another candidate or permitting one’s answers to be copied by another candidate during the examination; or referencing any books, notes, written or printed materials or data of any kind, other than the examination materials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examination process, such as falsifying or misrepresenting educational credentials or other information needed for admission to the examination; impersonating an examination candidate or having an impersonator take the examination on one’s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2033.2(3)</w:t>
      </w:r>
      <w:r>
        <w:rPr>
          <w:rFonts w:ascii="Times New Roman" w:hAnsi="Times New Roman"/>
          <w:b w:val="false"/>
          <w:i w:val="false"/>
          <w:color w:val="000000"/>
          <w:sz w:val="22"/>
        </w:rPr>
        <w:t> </w:t>
      </w:r>
      <w:r>
        <w:rPr>
          <w:rFonts w:ascii="Times New Roman" w:hAnsi="Times New Roman"/>
          <w:b w:val="false"/>
          <w:i w:val="false"/>
          <w:color w:val="000000"/>
          <w:sz w:val="22"/>
        </w:rPr>
        <w:t>Any examination candidate who challenges a decision of the board under this rule may request a contested case hearing. The request for hearing will be in writing, will briefly describe the basis for the challenge, and will be filed in the board’s office within 30 days of the date of the board decision that is being challenged.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481—2033.3</w:t>
      </w:r>
      <w:r>
        <w:rPr>
          <w:rFonts w:ascii="Times New Roman" w:hAnsi="Times New Roman"/>
          <w:b/>
          <w:i w:val="false"/>
          <w:color w:val="000000"/>
          <w:sz w:val="22"/>
        </w:rPr>
        <w:t xml:space="preserve">(543D) </w:t>
      </w:r>
      <w:r>
        <w:rPr>
          <w:rFonts w:ascii="Times New Roman" w:hAnsi="Times New Roman"/>
          <w:b/>
          <w:i w:val="false"/>
          <w:color w:val="000000"/>
          <w:sz w:val="22"/>
        </w:rPr>
        <w:t xml:space="preserve">Application for certification or registration. </w:t>
      </w:r>
      <w:r>
        <w:rPr>
          <w:rFonts w:ascii="Times New Roman" w:hAnsi="Times New Roman"/>
          <w:b w:val="false"/>
          <w:i w:val="false"/>
          <w:color w:val="000000"/>
          <w:sz w:val="22"/>
        </w:rPr>
        <w:t>Applicants for certification or registration have to successfully complete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2033.3(1)</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initial applications for certification or associate registration will be made through the board’s online system. The board may deny an application as described in Iowa Code sections </w:t>
      </w:r>
      <w:hyperlink r:id="rId5">
        <w:r>
          <w:rPr>
            <w:rStyle w:val="Hyperlink"/>
            <w:rFonts w:ascii="Times New Roman" w:hAnsi="Times New Roman"/>
            <w:b w:val="false"/>
            <w:i w:val="false"/>
            <w:color w:val="000000"/>
            <w:sz w:val="22"/>
          </w:rPr>
          <w:t>543D.12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The board may also deny an application based on disciplinary action pending or taken against an applicant consistent with Iowa Code section </w:t>
      </w:r>
      <w:hyperlink r:id="rId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543D.8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12/22/97, Notice 11/5/97—published 1/14/98, effective 2/18/98]</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4/22/05, Notice 3/16/05—published 5/11/05, effective 6/15/05]</w:t>
      </w:r>
    </w:p>
    <w:p>
      <w:pPr>
        <w:spacing w:before="0" w:after="0"/>
        <w:ind w:left="120"/>
        <w:jc w:val="center"/>
      </w:pPr>
      <w:r>
        <w:rPr>
          <w:rFonts w:ascii="Times New Roman" w:hAnsi="Times New Roman"/>
          <w:b w:val="false"/>
          <w:i w:val="false"/>
          <w:color w:val="000000"/>
          <w:sz w:val="21"/>
        </w:rPr>
        <w:t>[Filed 10/3/07, Notice 8/1/07—published 10/24/07, effective 11/28/07]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1731C</w:t>
      </w:r>
      <w:r>
        <w:rPr>
          <w:rFonts w:ascii="Times New Roman" w:hAnsi="Times New Roman"/>
          <w:b w:val="false"/>
          <w:i w:val="false"/>
          <w:color w:val="000000"/>
          <w:sz w:val="21"/>
        </w:rPr>
        <w:t xml:space="preserve"> (Notice ARC 1631C, IAB 9/17/14)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7839C</w:t>
      </w:r>
      <w:r>
        <w:rPr>
          <w:rFonts w:ascii="Times New Roman" w:hAnsi="Times New Roman"/>
          <w:b w:val="false"/>
          <w:i w:val="false"/>
          <w:color w:val="000000"/>
          <w:sz w:val="21"/>
        </w:rPr>
        <w:t xml:space="preserve"> (Notice ARC 7259C,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2.pdf" Type="http://schemas.openxmlformats.org/officeDocument/2006/relationships/hyperlink" Id="rId5"/>
    <Relationship TargetMode="External" Target="https://www.legis.iowa.gov/docs/ico/chapter/543D.17.pdf" Type="http://schemas.openxmlformats.org/officeDocument/2006/relationships/hyperlink" Id="rId6"/>
    <Relationship TargetMode="External" Target="https://www.legis.iowa.gov/docs/ico/chapter/272C.12.pdf" Type="http://schemas.openxmlformats.org/officeDocument/2006/relationships/hyperlink" Id="rId7"/>
    <Relationship TargetMode="External" Target="https://www.legis.iowa.gov/docs/ico/chapter/543D.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