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2016</w:t>
      </w:r>
    </w:p>
    <w:p>
      <w:pPr>
        <w:spacing w:before="0" w:after="0"/>
        <w:ind w:left="120"/>
        <w:jc w:val="center"/>
      </w:pPr>
      <w:r>
        <w:rPr>
          <w:rFonts w:ascii="Times New Roman" w:hAnsi="Times New Roman"/>
          <w:b w:val="false"/>
          <w:i w:val="false"/>
          <w:color w:val="000000"/>
          <w:sz w:val="21"/>
        </w:rPr>
        <w:t>PRELICENSE EDUCATION AND CONTINUING EDUCATION</w:t>
      </w:r>
    </w:p>
    <w:p>
      <w:pPr>
        <w:spacing w:before="0" w:after="0"/>
        <w:ind w:left="120"/>
        <w:jc w:val="center"/>
      </w:pPr>
      <w:r>
        <w:rPr>
          <w:rFonts w:ascii="Times New Roman" w:hAnsi="Times New Roman"/>
          <w:b w:val="false"/>
          <w:i w:val="false"/>
          <w:color w:val="000000"/>
          <w:sz w:val="20"/>
        </w:rPr>
        <w:t>[Prior to 9/4/02, see 193E—Ch 3]</w:t>
      </w:r>
    </w:p>
    <w:p>
      <w:pPr>
        <w:spacing w:before="0" w:after="0"/>
        <w:ind w:left="120"/>
        <w:jc w:val="center"/>
      </w:pPr>
      <w:r>
        <w:rPr>
          <w:rFonts w:ascii="Times New Roman" w:hAnsi="Times New Roman"/>
          <w:b w:val="false"/>
          <w:i w:val="false"/>
          <w:color w:val="000000"/>
          <w:sz w:val="20"/>
        </w:rPr>
        <w:t>[Prior to 6/10/26, see Real Estate Commission[193E] 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481—2016.1</w:t>
      </w:r>
      <w:r>
        <w:rPr>
          <w:rFonts w:ascii="Times New Roman" w:hAnsi="Times New Roman"/>
          <w:b/>
          <w:i w:val="false"/>
          <w:color w:val="000000"/>
          <w:sz w:val="22"/>
        </w:rPr>
        <w:t xml:space="preserve">(543B)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“Affirmative marketing”</w:t>
      </w:r>
      <w:r>
        <w:rPr>
          <w:rFonts w:ascii="Times New Roman" w:hAnsi="Times New Roman"/>
          <w:b w:val="false"/>
          <w:i w:val="false"/>
          <w:color w:val="000000"/>
          <w:sz w:val="22"/>
        </w:rPr>
        <w:t> </w:t>
      </w:r>
      <w:r>
        <w:rPr>
          <w:rFonts w:ascii="Times New Roman" w:hAnsi="Times New Roman"/>
          <w:b w:val="false"/>
          <w:i w:val="false"/>
          <w:color w:val="000000"/>
          <w:sz w:val="22"/>
        </w:rPr>
        <w:t>means the entire scope of social laws and ethics that are concerned with civil rights as they apply especially to housing and to the activities of real estate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 course, or 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 course, or activity meeting the standards set forth in these rules which has received advance approval by the commission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provider”</w:t>
      </w:r>
      <w:r>
        <w:rPr>
          <w:rFonts w:ascii="Times New Roman" w:hAnsi="Times New Roman"/>
          <w:b w:val="false"/>
          <w:i w:val="false"/>
          <w:color w:val="000000"/>
          <w:sz w:val="22"/>
        </w:rPr>
        <w:t> </w:t>
      </w:r>
      <w:r>
        <w:rPr>
          <w:rFonts w:ascii="Times New Roman" w:hAnsi="Times New Roman"/>
          <w:b w:val="false"/>
          <w:i w:val="false"/>
          <w:color w:val="000000"/>
          <w:sz w:val="22"/>
        </w:rPr>
        <w:t>means a person or an organization that has been approved by the commission to conduct continuing education activities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holding an Iowa real estate broker license as defined in Iowa Code section </w:t>
      </w:r>
      <w:hyperlink r:id="rId5">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real estate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needed as a condition to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“Credit hour”</w:t>
      </w:r>
      <w:r>
        <w:rPr>
          <w:rFonts w:ascii="Times New Roman" w:hAnsi="Times New Roman"/>
          <w:b w:val="false"/>
          <w:i w:val="false"/>
          <w:color w:val="000000"/>
          <w:sz w:val="22"/>
        </w:rPr>
        <w:t> </w:t>
      </w:r>
      <w:r>
        <w:rPr>
          <w:rFonts w:ascii="Times New Roman" w:hAnsi="Times New Roman"/>
          <w:b w:val="false"/>
          <w:i w:val="false"/>
          <w:color w:val="000000"/>
          <w:sz w:val="22"/>
        </w:rPr>
        <w:t>means the value assigned by the commission to a prelicense or continuing education program, course,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learning”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“online learning”</w:t>
      </w:r>
      <w:r>
        <w:rPr>
          <w:rFonts w:ascii="Times New Roman" w:hAnsi="Times New Roman"/>
          <w:b w:val="false"/>
          <w:i w:val="false"/>
          <w:color w:val="000000"/>
          <w:sz w:val="22"/>
        </w:rPr>
        <w:t> </w:t>
      </w:r>
      <w:r>
        <w:rPr>
          <w:rFonts w:ascii="Times New Roman" w:hAnsi="Times New Roman"/>
          <w:b w:val="false"/>
          <w:i w:val="false"/>
          <w:color w:val="000000"/>
          <w:sz w:val="22"/>
        </w:rPr>
        <w:t>means a planned teaching/learning experience with a geographic separation of student and instructor that utilizes a wide spectrum of technology-based systems, including computer-based instruction, to reach learners at a distance. Home-study courses that include written materials, exercises and tests mailed to the provider for review are included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“Guest speaker”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teaches a real estate education course on a one-time-only or very limited basis and who possesses a unique depth of knowledge and experience in the subject matter the individual proposes to teach.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w:t>
      </w:r>
      <w:r>
        <w:rPr>
          <w:rFonts w:ascii="Times New Roman" w:hAnsi="Times New Roman"/>
          <w:b w:val="false"/>
          <w:i w:val="false"/>
          <w:color w:val="000000"/>
          <w:sz w:val="22"/>
        </w:rPr>
        <w:t> </w:t>
      </w:r>
      <w:r>
        <w:rPr>
          <w:rFonts w:ascii="Times New Roman" w:hAnsi="Times New Roman"/>
          <w:b w:val="false"/>
          <w:i w:val="false"/>
          <w:color w:val="000000"/>
          <w:sz w:val="22"/>
        </w:rPr>
        <w:t>means 50 minutes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543B.5(12)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543B.5(13)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“Live instruction”</w:t>
      </w:r>
      <w:r>
        <w:rPr>
          <w:rFonts w:ascii="Times New Roman" w:hAnsi="Times New Roman"/>
          <w:b w:val="false"/>
          <w:i w:val="false"/>
          <w:color w:val="000000"/>
          <w:sz w:val="22"/>
        </w:rPr>
        <w:t> </w:t>
      </w:r>
      <w:r>
        <w:rPr>
          <w:rFonts w:ascii="Times New Roman" w:hAnsi="Times New Roman"/>
          <w:b w:val="false"/>
          <w:i w:val="false"/>
          <w:color w:val="000000"/>
          <w:sz w:val="22"/>
        </w:rPr>
        <w:t>means an educational program delivered in a traditional classroom setting or by electronic means whereby the instructor and student have real-time visual and audio contact to carry out their essential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“Prelicense course”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instruction consisting of one or more courses meeting the criteria of Iowa Code section </w:t>
      </w:r>
      <w:hyperlink r:id="rId8">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“Salesperson”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holding an Iowa real estate salesperson license as defined in Iowa Code section </w:t>
      </w:r>
      <w:hyperlink r:id="rId9">
        <w:r>
          <w:rPr>
            <w:rStyle w:val="Hyperlink"/>
            <w:rFonts w:ascii="Times New Roman" w:hAnsi="Times New Roman"/>
            <w:b w:val="false"/>
            <w:i w:val="false"/>
            <w:color w:val="000000"/>
            <w:sz w:val="22"/>
          </w:rPr>
          <w:t>543B.5(3)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481—2016.2</w:t>
      </w:r>
      <w:r>
        <w:rPr>
          <w:rFonts w:ascii="Times New Roman" w:hAnsi="Times New Roman"/>
          <w:b/>
          <w:i w:val="false"/>
          <w:color w:val="000000"/>
          <w:sz w:val="22"/>
        </w:rPr>
        <w:t xml:space="preserve">(543B) </w:t>
      </w:r>
      <w:r>
        <w:rPr>
          <w:rFonts w:ascii="Times New Roman" w:hAnsi="Times New Roman"/>
          <w:b/>
          <w:i w:val="false"/>
          <w:color w:val="000000"/>
          <w:sz w:val="22"/>
        </w:rPr>
        <w:t xml:space="preserve">Salesperson prelicense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2016.2(1)</w:t>
      </w:r>
      <w:r>
        <w:rPr>
          <w:rFonts w:ascii="Times New Roman" w:hAnsi="Times New Roman"/>
          <w:b w:val="false"/>
          <w:i w:val="false"/>
          <w:color w:val="000000"/>
          <w:sz w:val="22"/>
        </w:rPr>
        <w:t> </w:t>
      </w:r>
      <w:r>
        <w:rPr>
          <w:rFonts w:ascii="Times New Roman" w:hAnsi="Times New Roman"/>
          <w:b w:val="false"/>
          <w:i/>
          <w:color w:val="000000"/>
          <w:sz w:val="22"/>
        </w:rPr>
        <w:t xml:space="preserve">Mandatory course of study.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mandatory course of study for the salesperson licensing examination consists of 60 live instruction or distance/online learning hours of real estate principles and practices to comply with the criteria of Iowa Code section </w:t>
      </w:r>
      <w:hyperlink r:id="rId10">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The curriculum includes, but is not limited to, the following subjects:</w:t>
      </w:r>
    </w:p>
    <w:p>
      <w:pPr>
        <w:spacing w:before="0" w:after="0"/>
        <w:ind w:left="120"/>
        <w:jc w:val="both"/>
      </w:pPr>
      <w:r>
        <w:rPr>
          <w:rFonts w:ascii="Times New Roman" w:hAnsi="Times New Roman"/>
          <w:b w:val="false"/>
          <w:i w:val="false"/>
          <w:color w:val="000000"/>
          <w:sz w:val="22"/>
        </w:rPr>
        <w:t>Introduction to Real Estate and Iowa License Law</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Ownership, Encumbrances, Legal Descriptions, Transfer of Title and Closing</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Contracts, Agency and Antitrust</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Valuation, Finance and Real Estate Math</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Property Management/Leasing, Fair Housing, Environmental Risks</w:t>
      </w:r>
    </w:p>
    <w:p>
      <w:pPr>
        <w:spacing w:before="0" w:after="0"/>
        <w:ind w:left="120"/>
        <w:jc w:val="both"/>
      </w:pPr>
      <w:r>
        <w:rPr>
          <w:rFonts w:ascii="Times New Roman" w:hAnsi="Times New Roman"/>
          <w:b w:val="false"/>
          <w:i w:val="false"/>
          <w:color w:val="000000"/>
          <w:sz w:val="22"/>
        </w:rPr>
        <w:t>and Health Issues</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submission of an application, an applicant applying for an original salesperson license also provides evidence of the following live instruction courses: 12 hours of Developing Professionalism and Ethical Practices, 12 hours of Buying Practices and 12 hours of Listing Practices. All the necessary education is completed during the 12 months prior to the date the application is postmarked or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2016.2(2)</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prelicense education. </w:t>
      </w:r>
      <w:r>
        <w:rPr>
          <w:rFonts w:ascii="Times New Roman" w:hAnsi="Times New Roman"/>
          <w:b w:val="false"/>
          <w:i w:val="false"/>
          <w:color w:val="000000"/>
          <w:sz w:val="22"/>
        </w:rPr>
        <w:t>Successful completion of the salesperson prelicense education includes passage of an examination(s) designed by the approved provider that is sufficiently comprehensive to measure the student’s knowledge of all aspects of the course(s). Times allotted for examinations may be regarded as hours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2016.2(3)</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courses. </w:t>
      </w:r>
      <w:r>
        <w:rPr>
          <w:rFonts w:ascii="Times New Roman" w:hAnsi="Times New Roman"/>
          <w:b w:val="false"/>
          <w:i w:val="false"/>
          <w:color w:val="000000"/>
          <w:sz w:val="22"/>
        </w:rPr>
        <w:t xml:space="preserve">Written requests for substitution of the salesperson prelicense education courses specified in subrule </w:t>
      </w:r>
      <w:hyperlink r:id="rId11">
        <w:r>
          <w:rPr>
            <w:rStyle w:val="Hyperlink"/>
            <w:rFonts w:ascii="Times New Roman" w:hAnsi="Times New Roman"/>
            <w:b w:val="false"/>
            <w:i w:val="false"/>
            <w:color w:val="000000"/>
            <w:sz w:val="22"/>
          </w:rPr>
          <w:t>2016.2(1)</w:t>
        </w:r>
      </w:hyperlink>
      <w:r>
        <w:rPr>
          <w:rFonts w:ascii="Times New Roman" w:hAnsi="Times New Roman"/>
          <w:b w:val="false"/>
          <w:i w:val="false"/>
          <w:color w:val="000000"/>
          <w:sz w:val="22"/>
        </w:rPr>
        <w:t xml:space="preserve"> may be granted if the applicant submits evidence of successful completion of a course or courses which are substantially similar to the courses specified in subrule </w:t>
      </w:r>
      <w:hyperlink r:id="rId12">
        <w:r>
          <w:rPr>
            <w:rStyle w:val="Hyperlink"/>
            <w:rFonts w:ascii="Times New Roman" w:hAnsi="Times New Roman"/>
            <w:b w:val="false"/>
            <w:i w:val="false"/>
            <w:color w:val="000000"/>
            <w:sz w:val="22"/>
          </w:rPr>
          <w:t>2016.2(1)</w:t>
        </w:r>
      </w:hyperlink>
      <w:r>
        <w:rPr>
          <w:rFonts w:ascii="Times New Roman" w:hAnsi="Times New Roman"/>
          <w:b w:val="false"/>
          <w:i w:val="false"/>
          <w:color w:val="000000"/>
          <w:sz w:val="22"/>
        </w:rPr>
        <w:t>. Courses completed more than 12 months prior to commission consideration for approval do not qualify for substitution.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481—2016.3</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prelicense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2016.3(1)</w:t>
      </w:r>
      <w:r>
        <w:rPr>
          <w:rFonts w:ascii="Times New Roman" w:hAnsi="Times New Roman"/>
          <w:b w:val="false"/>
          <w:i w:val="false"/>
          <w:color w:val="000000"/>
          <w:sz w:val="22"/>
        </w:rPr>
        <w:t> </w:t>
      </w:r>
      <w:r>
        <w:rPr>
          <w:rFonts w:ascii="Times New Roman" w:hAnsi="Times New Roman"/>
          <w:b w:val="false"/>
          <w:i/>
          <w:color w:val="000000"/>
          <w:sz w:val="22"/>
        </w:rPr>
        <w:t xml:space="preserve">Mandatory course of study. </w:t>
      </w:r>
      <w:r>
        <w:rPr>
          <w:rFonts w:ascii="Times New Roman" w:hAnsi="Times New Roman"/>
          <w:b w:val="false"/>
          <w:i w:val="false"/>
          <w:color w:val="000000"/>
          <w:sz w:val="22"/>
        </w:rPr>
        <w:t xml:space="preserve">The mandatory course of study to take the broker examination consists of Iowa Code section </w:t>
      </w:r>
      <w:hyperlink r:id="rId13">
        <w:r>
          <w:rPr>
            <w:rStyle w:val="Hyperlink"/>
            <w:rFonts w:ascii="Times New Roman" w:hAnsi="Times New Roman"/>
            <w:b w:val="false"/>
            <w:i w:val="false"/>
            <w:color w:val="000000"/>
            <w:sz w:val="22"/>
          </w:rPr>
          <w:t>543B.15(7)</w:t>
        </w:r>
      </w:hyperlink>
      <w:r>
        <w:rPr>
          <w:rFonts w:ascii="Times New Roman" w:hAnsi="Times New Roman"/>
          <w:b w:val="false"/>
          <w:i w:val="false"/>
          <w:color w:val="000000"/>
          <w:sz w:val="22"/>
        </w:rPr>
        <w:t>. Approved courses include the following subjects:</w:t>
      </w:r>
    </w:p>
    <w:p>
      <w:pPr>
        <w:spacing w:before="0" w:after="0"/>
        <w:ind w:left="120"/>
        <w:jc w:val="both"/>
      </w:pPr>
      <w:r>
        <w:rPr>
          <w:rFonts w:ascii="Times New Roman" w:hAnsi="Times New Roman"/>
          <w:b w:val="false"/>
          <w:i w:val="false"/>
          <w:color w:val="000000"/>
          <w:sz w:val="22"/>
        </w:rPr>
        <w:t>Contract Law and Contract Writing</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Iowa Real Estate Trust Accounts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Principles of Appraising and Market Analysis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Law and Agency Law</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Finance</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Federal and State Laws Affecting Iowa Practice</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Office Organization, Administration and Human Resources</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Real Estate Technology and Data Security</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Ethics and Safety Issues for Brokers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2016.3(2)</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prelicense education. </w:t>
      </w:r>
      <w:r>
        <w:rPr>
          <w:rFonts w:ascii="Times New Roman" w:hAnsi="Times New Roman"/>
          <w:b w:val="false"/>
          <w:i w:val="false"/>
          <w:color w:val="000000"/>
          <w:sz w:val="22"/>
        </w:rPr>
        <w:t xml:space="preserve">Successful completion of the broker prelicense education includes passage of an examination(s) designed by the approved provider that is sufficiently comprehensive to measure the student’s knowledge of all aspects of the course(s). Times allotted for examinations may be regarded as hours of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2016.3(3)</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courses. </w:t>
      </w:r>
      <w:r>
        <w:rPr>
          <w:rFonts w:ascii="Times New Roman" w:hAnsi="Times New Roman"/>
          <w:b w:val="false"/>
          <w:i w:val="false"/>
          <w:color w:val="000000"/>
          <w:sz w:val="22"/>
        </w:rPr>
        <w:t xml:space="preserve">Written requests for substitution of the broker prelicense education courses specified in subrule </w:t>
      </w:r>
      <w:hyperlink r:id="rId14">
        <w:r>
          <w:rPr>
            <w:rStyle w:val="Hyperlink"/>
            <w:rFonts w:ascii="Times New Roman" w:hAnsi="Times New Roman"/>
            <w:b w:val="false"/>
            <w:i w:val="false"/>
            <w:color w:val="000000"/>
            <w:sz w:val="22"/>
          </w:rPr>
          <w:t>2016.3(1)</w:t>
        </w:r>
      </w:hyperlink>
      <w:r>
        <w:rPr>
          <w:rFonts w:ascii="Times New Roman" w:hAnsi="Times New Roman"/>
          <w:b w:val="false"/>
          <w:i w:val="false"/>
          <w:color w:val="000000"/>
          <w:sz w:val="22"/>
        </w:rPr>
        <w:t xml:space="preserve"> may be granted if the applicant submits evidence of successful completion of a course or courses which are substantially similar to the courses specified in subrule </w:t>
      </w:r>
      <w:hyperlink r:id="rId15">
        <w:r>
          <w:rPr>
            <w:rStyle w:val="Hyperlink"/>
            <w:rFonts w:ascii="Times New Roman" w:hAnsi="Times New Roman"/>
            <w:b w:val="false"/>
            <w:i w:val="false"/>
            <w:color w:val="000000"/>
            <w:sz w:val="22"/>
          </w:rPr>
          <w:t>2016.3(1)</w:t>
        </w:r>
      </w:hyperlink>
      <w:r>
        <w:rPr>
          <w:rFonts w:ascii="Times New Roman" w:hAnsi="Times New Roman"/>
          <w:b w:val="false"/>
          <w:i w:val="false"/>
          <w:color w:val="000000"/>
          <w:sz w:val="22"/>
        </w:rPr>
        <w:t>. Any course completed more than 24 months prior to commission consideration for approval does not qualify for substitution.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481—2016.4</w:t>
      </w:r>
      <w:r>
        <w:rPr>
          <w:rFonts w:ascii="Times New Roman" w:hAnsi="Times New Roman"/>
          <w:b/>
          <w:i w:val="false"/>
          <w:color w:val="000000"/>
          <w:sz w:val="22"/>
        </w:rPr>
        <w:t xml:space="preserve">(543B) </w:t>
      </w:r>
      <w:r>
        <w:rPr>
          <w:rFonts w:ascii="Times New Roman" w:hAnsi="Times New Roman"/>
          <w:b/>
          <w:i w:val="false"/>
          <w:color w:val="000000"/>
          <w:sz w:val="22"/>
        </w:rPr>
        <w:t xml:space="preserve">Continuing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2016.4(1)</w:t>
      </w:r>
      <w:r>
        <w:rPr>
          <w:rFonts w:ascii="Times New Roman" w:hAnsi="Times New Roman"/>
          <w:b w:val="false"/>
          <w:i w:val="false"/>
          <w:color w:val="000000"/>
          <w:sz w:val="22"/>
        </w:rPr>
        <w:t> </w:t>
      </w:r>
      <w:r>
        <w:rPr>
          <w:rFonts w:ascii="Times New Roman" w:hAnsi="Times New Roman"/>
          <w:b w:val="false"/>
          <w:i w:val="false"/>
          <w:color w:val="000000"/>
          <w:sz w:val="22"/>
        </w:rPr>
        <w:t>All individual real estate licenses are issued for three-year terms, counting the remaining portion of the year of issue as a full year. All individual licenses expire on December 31 of the third year of the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2016.4(2)</w:t>
      </w:r>
      <w:r>
        <w:rPr>
          <w:rFonts w:ascii="Times New Roman" w:hAnsi="Times New Roman"/>
          <w:b w:val="false"/>
          <w:i w:val="false"/>
          <w:color w:val="000000"/>
          <w:sz w:val="22"/>
        </w:rPr>
        <w:t> </w:t>
      </w:r>
      <w:r>
        <w:rPr>
          <w:rFonts w:ascii="Times New Roman" w:hAnsi="Times New Roman"/>
          <w:b w:val="false"/>
          <w:i w:val="false"/>
          <w:color w:val="000000"/>
          <w:sz w:val="22"/>
        </w:rPr>
        <w:t>As a criteria of license renewal in an active status, each real estate licensee completes a minimum of 36 hours of approved programs, courses or activities.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nor the four-hour ethics course. Approved courses in the following subjects are completed to renew a license to active status:</w:t>
      </w:r>
    </w:p>
    <w:p>
      <w:pPr>
        <w:spacing w:before="0" w:after="0"/>
        <w:ind w:left="120"/>
        <w:jc w:val="both"/>
      </w:pPr>
      <w:r>
        <w:rPr>
          <w:rFonts w:ascii="Times New Roman" w:hAnsi="Times New Roman"/>
          <w:b w:val="false"/>
          <w:i w:val="false"/>
          <w:color w:val="000000"/>
          <w:sz w:val="22"/>
        </w:rPr>
        <w:t>Law Update</w:t>
      </w:r>
      <w:r>
        <w:rPr>
          <w:rFonts w:ascii="Times New Roman" w:hAnsi="Times New Roman"/>
          <w:b w:val="false"/>
          <w:i w:val="false"/>
          <w:color w:val="000000"/>
          <w:sz w:val="22"/>
        </w:rPr>
        <w:t>8 hours</w:t>
      </w:r>
    </w:p>
    <w:p>
      <w:pPr>
        <w:spacing w:before="0" w:after="0"/>
        <w:ind w:left="120"/>
        <w:jc w:val="both"/>
      </w:pPr>
      <w:r>
        <w:rPr>
          <w:rFonts w:ascii="Times New Roman" w:hAnsi="Times New Roman"/>
          <w:b w:val="false"/>
          <w:i w:val="false"/>
          <w:color w:val="000000"/>
          <w:sz w:val="22"/>
        </w:rPr>
        <w:t>Ethics</w:t>
      </w:r>
      <w:r>
        <w:rPr>
          <w:rFonts w:ascii="Times New Roman" w:hAnsi="Times New Roman"/>
          <w:b w:val="false"/>
          <w:i w:val="false"/>
          <w:color w:val="000000"/>
          <w:sz w:val="22"/>
        </w:rPr>
        <w:t>4 hours</w:t>
      </w:r>
    </w:p>
    <w:p>
      <w:pPr>
        <w:spacing w:before="0" w:after="0"/>
        <w:ind w:left="120"/>
        <w:jc w:val="both"/>
      </w:pPr>
      <w:r>
        <w:rPr>
          <w:rFonts w:ascii="Times New Roman" w:hAnsi="Times New Roman"/>
          <w:b w:val="false"/>
          <w:i w:val="false"/>
          <w:color w:val="000000"/>
          <w:sz w:val="22"/>
        </w:rPr>
        <w:t>Electives</w:t>
      </w:r>
      <w:r>
        <w:rPr>
          <w:rFonts w:ascii="Times New Roman" w:hAnsi="Times New Roman"/>
          <w:b w:val="false"/>
          <w:i w:val="false"/>
          <w:color w:val="000000"/>
          <w:sz w:val="22"/>
        </w:rPr>
        <w:t>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2016.4(3)</w:t>
      </w:r>
      <w:r>
        <w:rPr>
          <w:rFonts w:ascii="Times New Roman" w:hAnsi="Times New Roman"/>
          <w:b w:val="false"/>
          <w:i w:val="false"/>
          <w:color w:val="000000"/>
          <w:sz w:val="22"/>
        </w:rPr>
        <w:t> </w:t>
      </w:r>
      <w:r>
        <w:rPr>
          <w:rFonts w:ascii="Times New Roman" w:hAnsi="Times New Roman"/>
          <w:b w:val="false"/>
          <w:i w:val="false"/>
          <w:color w:val="000000"/>
          <w:sz w:val="22"/>
        </w:rPr>
        <w:t>During each three-year renewal period a course may be taken for credit only once. A course may be repeated for credit only if the course numbers and instructors are different.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2016.4(4)</w:t>
      </w:r>
      <w:r>
        <w:rPr>
          <w:rFonts w:ascii="Times New Roman" w:hAnsi="Times New Roman"/>
          <w:b w:val="false"/>
          <w:i w:val="false"/>
          <w:color w:val="000000"/>
          <w:sz w:val="22"/>
        </w:rPr>
        <w:t> </w:t>
      </w:r>
      <w:r>
        <w:rPr>
          <w:rFonts w:ascii="Times New Roman" w:hAnsi="Times New Roman"/>
          <w:b w:val="false"/>
          <w:i w:val="false"/>
          <w:color w:val="000000"/>
          <w:sz w:val="22"/>
        </w:rPr>
        <w:t>A maximum of 24 hours of continuing education may be taken by distance/online learning each three-year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2016.4(5)</w:t>
      </w:r>
      <w:r>
        <w:rPr>
          <w:rFonts w:ascii="Times New Roman" w:hAnsi="Times New Roman"/>
          <w:b w:val="false"/>
          <w:i w:val="false"/>
          <w:color w:val="000000"/>
          <w:sz w:val="22"/>
        </w:rPr>
        <w:t> </w:t>
      </w:r>
      <w:r>
        <w:rPr>
          <w:rFonts w:ascii="Times New Roman" w:hAnsi="Times New Roman"/>
          <w:b w:val="false"/>
          <w:i w:val="false"/>
          <w:color w:val="000000"/>
          <w:sz w:val="22"/>
        </w:rPr>
        <w:t>A licensee unable to attend educational offerings because of a disability may make a written request to the commission setting forth an explanation and verification of the disability. Licensees making requests need to meet the definition of a person with a disability found in the Americans with Disabilities Act as amended by the ADA Amendments Act of 2008 (ADAAA).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2016.4(6)</w:t>
      </w:r>
      <w:r>
        <w:rPr>
          <w:rFonts w:ascii="Times New Roman" w:hAnsi="Times New Roman"/>
          <w:b w:val="false"/>
          <w:i w:val="false"/>
          <w:color w:val="000000"/>
          <w:sz w:val="22"/>
        </w:rPr>
        <w:t> </w:t>
      </w:r>
      <w:r>
        <w:rPr>
          <w:rFonts w:ascii="Times New Roman" w:hAnsi="Times New Roman"/>
          <w:b w:val="false"/>
          <w:i w:val="false"/>
          <w:color w:val="000000"/>
          <w:sz w:val="22"/>
        </w:rPr>
        <w:t>In addition to courses approved directly by the commission, the following will be deemed acceptable as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Credits earned in a state which has a continuing education criteria for renewal of a license if the course is approved by the real estate licensing board of that state for credit for renewal. However, state-specific courses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sponsored by the National Association of Realtors (NAR) or its affiliates.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481—2016.5</w:t>
      </w:r>
      <w:r>
        <w:rPr>
          <w:rFonts w:ascii="Times New Roman" w:hAnsi="Times New Roman"/>
          <w:b/>
          <w:i w:val="false"/>
          <w:color w:val="000000"/>
          <w:sz w:val="22"/>
        </w:rPr>
        <w:t xml:space="preserve">(543B) </w:t>
      </w:r>
      <w:r>
        <w:rPr>
          <w:rFonts w:ascii="Times New Roman" w:hAnsi="Times New Roman"/>
          <w:b/>
          <w:i w:val="false"/>
          <w:color w:val="000000"/>
          <w:sz w:val="22"/>
        </w:rPr>
        <w:t xml:space="preserve">Continuing education records. </w:t>
      </w:r>
      <w:r>
        <w:rPr>
          <w:rFonts w:ascii="Times New Roman" w:hAnsi="Times New Roman"/>
          <w:b w:val="false"/>
          <w:i w:val="false"/>
          <w:color w:val="000000"/>
          <w:sz w:val="22"/>
        </w:rPr>
        <w:t xml:space="preserve">Applicants for license renewal pursuant to Iowa Code section </w:t>
      </w:r>
      <w:hyperlink r:id="rId16">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xml:space="preserve"> certify that the number of hours of continuing education needed to renew a license was completed as described in rule </w:t>
      </w:r>
      <w:hyperlink r:id="rId17">
        <w:r>
          <w:rPr>
            <w:rStyle w:val="Hyperlink"/>
            <w:rFonts w:ascii="Times New Roman" w:hAnsi="Times New Roman"/>
            <w:b w:val="false"/>
            <w:i w:val="false"/>
            <w:color w:val="000000"/>
            <w:sz w:val="22"/>
          </w:rPr>
          <w:t>481—2016.4</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2016.5(1)</w:t>
      </w:r>
      <w:r>
        <w:rPr>
          <w:rFonts w:ascii="Times New Roman" w:hAnsi="Times New Roman"/>
          <w:b w:val="false"/>
          <w:i w:val="false"/>
          <w:color w:val="000000"/>
          <w:sz w:val="22"/>
        </w:rPr>
        <w:t> </w:t>
      </w:r>
      <w:r>
        <w:rPr>
          <w:rFonts w:ascii="Times New Roman" w:hAnsi="Times New Roman"/>
          <w:b w:val="false"/>
          <w:i w:val="false"/>
          <w:color w:val="000000"/>
          <w:sz w:val="22"/>
        </w:rPr>
        <w:t>The commission will verify by random audit or on a test basis the education claimed by the licensee. It is the responsibility of the licensee to maintain records that support the continuing education claimed and the validity of the credits. Documentation is retained by the licensee for a period of six years after the effective date of the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2016.5(2)</w:t>
      </w:r>
      <w:r>
        <w:rPr>
          <w:rFonts w:ascii="Times New Roman" w:hAnsi="Times New Roman"/>
          <w:b w:val="false"/>
          <w:i w:val="false"/>
          <w:color w:val="000000"/>
          <w:sz w:val="22"/>
        </w:rPr>
        <w:t> </w:t>
      </w:r>
      <w:r>
        <w:rPr>
          <w:rFonts w:ascii="Times New Roman" w:hAnsi="Times New Roman"/>
          <w:b w:val="false"/>
          <w:i w:val="false"/>
          <w:color w:val="000000"/>
          <w:sz w:val="22"/>
        </w:rPr>
        <w:t>It will not be acceptable for a licensee to include on a renewal application continuing education which has not yet been completed, is outside the renewal period, or for which prior approval or postapproval has not been previously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2016.5(3)</w:t>
      </w:r>
      <w:r>
        <w:rPr>
          <w:rFonts w:ascii="Times New Roman" w:hAnsi="Times New Roman"/>
          <w:b w:val="false"/>
          <w:i w:val="false"/>
          <w:color w:val="000000"/>
          <w:sz w:val="22"/>
        </w:rPr>
        <w:t> </w:t>
      </w:r>
      <w:r>
        <w:rPr>
          <w:rFonts w:ascii="Times New Roman" w:hAnsi="Times New Roman"/>
          <w:b w:val="false"/>
          <w:i w:val="false"/>
          <w:color w:val="000000"/>
          <w:sz w:val="22"/>
        </w:rPr>
        <w:t>Failure to provide necessary evidence of completion of claimed education within 30 days of the written notice from the commission results in the license’s being placed on inactive status. Prior to activating a license that has been placed on inactive status pursuant to this provision, the licensee submits to the commission satisfactory evidence that all necessary continuing education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2016.5(4)</w:t>
      </w:r>
      <w:r>
        <w:rPr>
          <w:rFonts w:ascii="Times New Roman" w:hAnsi="Times New Roman"/>
          <w:b w:val="false"/>
          <w:i w:val="false"/>
          <w:color w:val="000000"/>
          <w:sz w:val="22"/>
        </w:rPr>
        <w:t> </w:t>
      </w:r>
      <w:r>
        <w:rPr>
          <w:rFonts w:ascii="Times New Roman" w:hAnsi="Times New Roman"/>
          <w:b w:val="false"/>
          <w:i w:val="false"/>
          <w:color w:val="000000"/>
          <w:sz w:val="22"/>
        </w:rPr>
        <w:t xml:space="preserve">Filing a false affirmation is prima facie evidence of a violation of Iowa Code section </w:t>
      </w:r>
      <w:hyperlink r:id="rId18">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481—2016.6</w:t>
      </w:r>
      <w:r>
        <w:rPr>
          <w:rFonts w:ascii="Times New Roman" w:hAnsi="Times New Roman"/>
          <w:b/>
          <w:i w:val="false"/>
          <w:color w:val="000000"/>
          <w:sz w:val="22"/>
        </w:rPr>
        <w:t xml:space="preserve">(543B) </w:t>
      </w:r>
      <w:r>
        <w:rPr>
          <w:rFonts w:ascii="Times New Roman" w:hAnsi="Times New Roman"/>
          <w:b/>
          <w:i w:val="false"/>
          <w:color w:val="000000"/>
          <w:sz w:val="22"/>
        </w:rPr>
        <w:t xml:space="preserve">Reactivating an inactive license. </w:t>
      </w:r>
      <w:r>
        <w:rPr>
          <w:rFonts w:ascii="Times New Roman" w:hAnsi="Times New Roman"/>
          <w:b w:val="false"/>
          <w:i w:val="false"/>
          <w:color w:val="000000"/>
          <w:sz w:val="22"/>
        </w:rPr>
        <w:t>A license may be renewed without the necessary continuing education, but it is only renewed to an inactive status. Prior to reactivating a license that has been issued inactive due to failure to submit evidence of continuing education, the licensee submits evidence that all deficient continuing education hours have been completed.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nor the four-hour ethics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481—2016.7</w:t>
      </w:r>
      <w:r>
        <w:rPr>
          <w:rFonts w:ascii="Times New Roman" w:hAnsi="Times New Roman"/>
          <w:b/>
          <w:i w:val="false"/>
          <w:color w:val="000000"/>
          <w:sz w:val="22"/>
        </w:rPr>
        <w:t xml:space="preserve">(543B) </w:t>
      </w:r>
      <w:r>
        <w:rPr>
          <w:rFonts w:ascii="Times New Roman" w:hAnsi="Times New Roman"/>
          <w:b/>
          <w:i w:val="false"/>
          <w:color w:val="000000"/>
          <w:sz w:val="22"/>
        </w:rPr>
        <w:t xml:space="preserve">Full-time attendance. </w:t>
      </w:r>
      <w:r>
        <w:rPr>
          <w:rFonts w:ascii="Times New Roman" w:hAnsi="Times New Roman"/>
          <w:b w:val="false"/>
          <w:i w:val="false"/>
          <w:color w:val="000000"/>
          <w:sz w:val="22"/>
        </w:rPr>
        <w:t>Successful completion of continuing education needs full-time attendance throughout the program, course or activity. A student who arrives late, leaves during class or leaves early does not receive a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481—2016.8</w:t>
      </w:r>
      <w:r>
        <w:rPr>
          <w:rFonts w:ascii="Times New Roman" w:hAnsi="Times New Roman"/>
          <w:b/>
          <w:i w:val="false"/>
          <w:color w:val="000000"/>
          <w:sz w:val="22"/>
        </w:rPr>
        <w:t xml:space="preserve">(543B) </w:t>
      </w:r>
      <w:r>
        <w:rPr>
          <w:rFonts w:ascii="Times New Roman" w:hAnsi="Times New Roman"/>
          <w:b/>
          <w:i w:val="false"/>
          <w:color w:val="000000"/>
          <w:sz w:val="22"/>
        </w:rPr>
        <w:t xml:space="preserve">Education criteria for out-of-state licensees. </w:t>
      </w:r>
      <w:r>
        <w:rPr>
          <w:rFonts w:ascii="Times New Roman" w:hAnsi="Times New Roman"/>
          <w:b w:val="false"/>
          <w:i w:val="false"/>
          <w:color w:val="000000"/>
          <w:sz w:val="22"/>
        </w:rPr>
        <w:t xml:space="preserve">Subrule </w:t>
      </w:r>
      <w:hyperlink r:id="rId19">
        <w:r>
          <w:rPr>
            <w:rStyle w:val="Hyperlink"/>
            <w:rFonts w:ascii="Times New Roman" w:hAnsi="Times New Roman"/>
            <w:b w:val="false"/>
            <w:i w:val="false"/>
            <w:color w:val="000000"/>
            <w:sz w:val="22"/>
          </w:rPr>
          <w:t>2016.4(2)</w:t>
        </w:r>
      </w:hyperlink>
      <w:r>
        <w:rPr>
          <w:rFonts w:ascii="Times New Roman" w:hAnsi="Times New Roman"/>
          <w:b w:val="false"/>
          <w:i w:val="false"/>
          <w:color w:val="000000"/>
          <w:sz w:val="22"/>
        </w:rPr>
        <w:t xml:space="preserve"> applies to every Iowa real estate licensee unless exempted by Iowa Code section </w:t>
      </w:r>
      <w:hyperlink r:id="rId20">
        <w:r>
          <w:rPr>
            <w:rStyle w:val="Hyperlink"/>
            <w:rFonts w:ascii="Times New Roman" w:hAnsi="Times New Roman"/>
            <w:b w:val="false"/>
            <w:i w:val="false"/>
            <w:color w:val="000000"/>
            <w:sz w:val="22"/>
          </w:rPr>
          <w:t>272C.2(5)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481—2016.9</w:t>
      </w:r>
      <w:r>
        <w:rPr>
          <w:rFonts w:ascii="Times New Roman" w:hAnsi="Times New Roman"/>
          <w:b/>
          <w:i w:val="false"/>
          <w:color w:val="000000"/>
          <w:sz w:val="22"/>
        </w:rPr>
        <w:t xml:space="preserve">(543B) </w:t>
      </w:r>
      <w:r>
        <w:rPr>
          <w:rFonts w:ascii="Times New Roman" w:hAnsi="Times New Roman"/>
          <w:b/>
          <w:i w:val="false"/>
          <w:color w:val="000000"/>
          <w:sz w:val="22"/>
        </w:rPr>
        <w:t xml:space="preserve">Examination as a substitute for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2016.9(1)</w:t>
      </w:r>
      <w:r>
        <w:rPr>
          <w:rFonts w:ascii="Times New Roman" w:hAnsi="Times New Roman"/>
          <w:b w:val="false"/>
          <w:i w:val="false"/>
          <w:color w:val="000000"/>
          <w:sz w:val="22"/>
        </w:rPr>
        <w:t> </w:t>
      </w:r>
      <w:r>
        <w:rPr>
          <w:rFonts w:ascii="Times New Roman" w:hAnsi="Times New Roman"/>
          <w:b w:val="false"/>
          <w:i w:val="false"/>
          <w:color w:val="000000"/>
          <w:sz w:val="22"/>
        </w:rPr>
        <w:t>A salesperson may satisfy all continuing education deficiencies by taking and passing the real estate salesperson examination. An authorization letter is obtained from the commission prior to scheduling the examination with the examination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salesperson takes and passes the salesperson examination within the six months immediately preceding the expiration of the license, the salesperson examination score report may be substituted for the necessary hours of continuing education credit for the current license term and will satisfy all previous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salesperson who is otherwise qualified to be a broker and who passes the broker licensing examination is not needed to furnish evidence of credit for continuing education earned as a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2016.9(2)</w:t>
      </w:r>
      <w:r>
        <w:rPr>
          <w:rFonts w:ascii="Times New Roman" w:hAnsi="Times New Roman"/>
          <w:b w:val="false"/>
          <w:i w:val="false"/>
          <w:color w:val="000000"/>
          <w:sz w:val="22"/>
        </w:rPr>
        <w:t> </w:t>
      </w:r>
      <w:r>
        <w:rPr>
          <w:rFonts w:ascii="Times New Roman" w:hAnsi="Times New Roman"/>
          <w:b w:val="false"/>
          <w:i w:val="false"/>
          <w:color w:val="000000"/>
          <w:sz w:val="22"/>
        </w:rPr>
        <w:t>A broker may satisfy all continuing education deficiencies by taking and passing the real estate broker examination. An authorization letter is obtained from the commission prior to scheduling the examination with the examination administrator. If the broker takes and passes the broker examination within the six months immediately preceding the expiration of the license, the broker examination score report may be substituted for the necessary hours of continuing education credits for the current license term and will satisfy all previous deficiencies.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481—2016.10</w:t>
      </w:r>
      <w:r>
        <w:rPr>
          <w:rFonts w:ascii="Times New Roman" w:hAnsi="Times New Roman"/>
          <w:b/>
          <w:i w:val="false"/>
          <w:color w:val="000000"/>
          <w:sz w:val="22"/>
        </w:rPr>
        <w:t xml:space="preserve">(543B) </w:t>
      </w:r>
      <w:r>
        <w:rPr>
          <w:rFonts w:ascii="Times New Roman" w:hAnsi="Times New Roman"/>
          <w:b/>
          <w:i w:val="false"/>
          <w:color w:val="000000"/>
          <w:sz w:val="22"/>
        </w:rPr>
        <w:t xml:space="preserve">Use of prelicense courses as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2016.10(1)</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Salespersons and brokers may take up to 24 hours of the salesperson prelicense courses specified in subrule </w:t>
      </w:r>
      <w:hyperlink r:id="rId21">
        <w:r>
          <w:rPr>
            <w:rStyle w:val="Hyperlink"/>
            <w:rFonts w:ascii="Times New Roman" w:hAnsi="Times New Roman"/>
            <w:b w:val="false"/>
            <w:i w:val="false"/>
            <w:color w:val="000000"/>
            <w:sz w:val="22"/>
          </w:rPr>
          <w:t>2016.2(1)</w:t>
        </w:r>
      </w:hyperlink>
      <w:r>
        <w:rPr>
          <w:rFonts w:ascii="Times New Roman" w:hAnsi="Times New Roman"/>
          <w:b w:val="false"/>
          <w:i w:val="false"/>
          <w:color w:val="000000"/>
          <w:sz w:val="22"/>
        </w:rPr>
        <w:t xml:space="preserve"> as continuing education. However, a newly licensed salesperson cannot use credits from the salesperson prelicense course(s) to meet the continuing education criteria of the first renewal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2016.10(2)</w:t>
      </w:r>
      <w:r>
        <w:rPr>
          <w:rFonts w:ascii="Times New Roman" w:hAnsi="Times New Roman"/>
          <w:b w:val="false"/>
          <w:i w:val="false"/>
          <w:color w:val="000000"/>
          <w:sz w:val="22"/>
        </w:rPr>
        <w:t> </w:t>
      </w:r>
      <w:r>
        <w:rPr>
          <w:rFonts w:ascii="Times New Roman" w:hAnsi="Times New Roman"/>
          <w:b w:val="false"/>
          <w:i w:val="false"/>
          <w:color w:val="000000"/>
          <w:sz w:val="22"/>
        </w:rPr>
        <w:t>Broker prelicense courses taken by a salesperson may be applied as continuing education for renewal of the salesperson license and also may be used as prelicense credit to qualify for a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2016.10(3)</w:t>
      </w:r>
      <w:r>
        <w:rPr>
          <w:rFonts w:ascii="Times New Roman" w:hAnsi="Times New Roman"/>
          <w:b w:val="false"/>
          <w:i w:val="false"/>
          <w:color w:val="000000"/>
          <w:sz w:val="22"/>
        </w:rPr>
        <w:t> </w:t>
      </w:r>
      <w:r>
        <w:rPr>
          <w:rFonts w:ascii="Times New Roman" w:hAnsi="Times New Roman"/>
          <w:b w:val="false"/>
          <w:i w:val="false"/>
          <w:color w:val="000000"/>
          <w:sz w:val="22"/>
        </w:rPr>
        <w:t>A broker may take broker prelicense courses as continuing education, but a newly licensed broker cannot use as continuing education credits from the prelicense courses taken to qualify for the broker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481—2016.11</w:t>
      </w:r>
      <w:r>
        <w:rPr>
          <w:rFonts w:ascii="Times New Roman" w:hAnsi="Times New Roman"/>
          <w:b/>
          <w:i w:val="false"/>
          <w:color w:val="000000"/>
          <w:sz w:val="22"/>
        </w:rPr>
        <w:t xml:space="preserve">(543B) </w:t>
      </w:r>
      <w:r>
        <w:rPr>
          <w:rFonts w:ascii="Times New Roman" w:hAnsi="Times New Roman"/>
          <w:b/>
          <w:i w:val="false"/>
          <w:color w:val="000000"/>
          <w:sz w:val="22"/>
        </w:rPr>
        <w:t xml:space="preserve">Requests for prior approval or postapproval of a course(s). </w:t>
      </w:r>
      <w:r>
        <w:rPr>
          <w:rFonts w:ascii="Times New Roman" w:hAnsi="Times New Roman"/>
          <w:b w:val="false"/>
          <w:i w:val="false"/>
          <w:color w:val="000000"/>
          <w:sz w:val="22"/>
        </w:rPr>
        <w:t>A licensee seeking credit for attendance and participation in a course, program, or other continuing education activity that is to be conducted by a school not otherwise approved by the commission may apply for approval to the commission at least 21 days in advance of the beginning of the activity. The commission approves or denies the application in writing within 14 days of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2016.11(1)</w:t>
      </w:r>
      <w:r>
        <w:rPr>
          <w:rFonts w:ascii="Times New Roman" w:hAnsi="Times New Roman"/>
          <w:b w:val="false"/>
          <w:i w:val="false"/>
          <w:color w:val="000000"/>
          <w:sz w:val="22"/>
        </w:rPr>
        <w:t> </w:t>
      </w:r>
      <w:r>
        <w:rPr>
          <w:rFonts w:ascii="Times New Roman" w:hAnsi="Times New Roman"/>
          <w:b w:val="false"/>
          <w:i w:val="false"/>
          <w:color w:val="000000"/>
          <w:sz w:val="22"/>
        </w:rPr>
        <w:t>The application for prior approval of a course or an activity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or organization or person conducting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and brief description of the activity or title and course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hours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2016.11(2)</w:t>
      </w:r>
      <w:r>
        <w:rPr>
          <w:rFonts w:ascii="Times New Roman" w:hAnsi="Times New Roman"/>
          <w:b w:val="false"/>
          <w:i w:val="false"/>
          <w:color w:val="000000"/>
          <w:sz w:val="22"/>
        </w:rPr>
        <w:t> </w:t>
      </w:r>
      <w:r>
        <w:rPr>
          <w:rFonts w:ascii="Times New Roman" w:hAnsi="Times New Roman"/>
          <w:b w:val="false"/>
          <w:i w:val="false"/>
          <w:color w:val="000000"/>
          <w:sz w:val="22"/>
        </w:rPr>
        <w:t>The application for postapproval of a course or an activity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firm, organization or person conducting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description of activity, and course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hours requested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Verification of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7/22/76, Notice 5/31/76—published 8/9/76, effective 9/13/76]</w:t>
      </w:r>
    </w:p>
    <w:p>
      <w:pPr>
        <w:spacing w:before="0" w:after="0"/>
        <w:ind w:left="120"/>
        <w:jc w:val="center"/>
      </w:pPr>
      <w:r>
        <w:rPr>
          <w:rFonts w:ascii="Times New Roman" w:hAnsi="Times New Roman"/>
          <w:b w:val="false"/>
          <w:i w:val="false"/>
          <w:color w:val="000000"/>
          <w:sz w:val="21"/>
        </w:rPr>
        <w:t>[Filed 6/8/78, Notice 5/3/78—published 6/28/78, effective 8/2/78]</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12/4/81, Notice 10/28/81—published 12/23/81, effective 1/27/82]</w:t>
      </w:r>
    </w:p>
    <w:p>
      <w:pPr>
        <w:spacing w:before="0" w:after="0"/>
        <w:ind w:left="120"/>
        <w:jc w:val="center"/>
      </w:pPr>
      <w:r>
        <w:rPr>
          <w:rFonts w:ascii="Times New Roman" w:hAnsi="Times New Roman"/>
          <w:b w:val="false"/>
          <w:i w:val="false"/>
          <w:color w:val="000000"/>
          <w:sz w:val="21"/>
        </w:rPr>
        <w:t>[Filed emergency 5/2/85—published 5/22/85, effective 5/2/85]</w:t>
      </w:r>
    </w:p>
    <w:p>
      <w:pPr>
        <w:spacing w:before="0" w:after="0"/>
        <w:ind w:left="120"/>
        <w:jc w:val="center"/>
      </w:pPr>
      <w:r>
        <w:rPr>
          <w:rFonts w:ascii="Times New Roman" w:hAnsi="Times New Roman"/>
          <w:b w:val="false"/>
          <w:i w:val="false"/>
          <w:color w:val="000000"/>
          <w:sz w:val="21"/>
        </w:rPr>
        <w:t>[Filed 8/23/85, Notice 7/3/85—published 9/11/85, effective 10/16/85]</w:t>
      </w:r>
    </w:p>
    <w:p>
      <w:pPr>
        <w:spacing w:before="0" w:after="0"/>
        <w:ind w:left="120"/>
        <w:jc w:val="center"/>
      </w:pPr>
      <w:r>
        <w:rPr>
          <w:rFonts w:ascii="Times New Roman" w:hAnsi="Times New Roman"/>
          <w:b w:val="false"/>
          <w:i w:val="false"/>
          <w:color w:val="000000"/>
          <w:sz w:val="21"/>
        </w:rPr>
        <w:t>[Filed 3/21/86, Notice 12/18/85—published 4/9/86, effective 5/15/86]</w:t>
      </w:r>
    </w:p>
    <w:p>
      <w:pPr>
        <w:spacing w:before="0" w:after="0"/>
        <w:ind w:left="120"/>
        <w:jc w:val="center"/>
      </w:pPr>
      <w:r>
        <w:rPr>
          <w:rFonts w:ascii="Times New Roman" w:hAnsi="Times New Roman"/>
          <w:b w:val="false"/>
          <w:i w:val="false"/>
          <w:color w:val="000000"/>
          <w:sz w:val="21"/>
        </w:rPr>
        <w:t>[Filed without Notice 5/30/86—published 6/18/86, effective 7/23/86]</w:t>
      </w:r>
    </w:p>
    <w:p>
      <w:pPr>
        <w:spacing w:before="0" w:after="0"/>
        <w:ind w:left="120"/>
        <w:jc w:val="center"/>
      </w:pPr>
      <w:r>
        <w:rPr>
          <w:rFonts w:ascii="Times New Roman" w:hAnsi="Times New Roman"/>
          <w:b w:val="false"/>
          <w:i w:val="false"/>
          <w:color w:val="000000"/>
          <w:sz w:val="21"/>
        </w:rPr>
        <w:t>[Filed 5/26/88, Notice 3/9/88—published 6/15/88, effective 7/20/88]</w:t>
      </w:r>
    </w:p>
    <w:p>
      <w:pPr>
        <w:spacing w:before="0" w:after="0"/>
        <w:ind w:left="120"/>
        <w:jc w:val="center"/>
      </w:pPr>
      <w:r>
        <w:rPr>
          <w:rFonts w:ascii="Times New Roman" w:hAnsi="Times New Roman"/>
          <w:b w:val="false"/>
          <w:i w:val="false"/>
          <w:color w:val="000000"/>
          <w:sz w:val="21"/>
        </w:rPr>
        <w:t>[Filed 12/22/89, Notice 10/18/89—published 1/10/90, effective 2/14/90]</w:t>
      </w:r>
    </w:p>
    <w:p>
      <w:pPr>
        <w:spacing w:before="0" w:after="0"/>
        <w:ind w:left="120"/>
        <w:jc w:val="center"/>
      </w:pPr>
      <w:r>
        <w:rPr>
          <w:rFonts w:ascii="Times New Roman" w:hAnsi="Times New Roman"/>
          <w:b w:val="false"/>
          <w:i w:val="false"/>
          <w:color w:val="000000"/>
          <w:sz w:val="21"/>
        </w:rPr>
        <w:t>[Filed 6/21/91, Notice 5/15/91—published 7/10/91, effective 8/14/91]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9/23/93, Notices 5/26/93, 8/4/93—published 10/13/93, effective 12/1/93]</w:t>
      </w:r>
    </w:p>
    <w:p>
      <w:pPr>
        <w:spacing w:before="0" w:after="0"/>
        <w:ind w:left="120"/>
        <w:jc w:val="center"/>
      </w:pPr>
      <w:r>
        <w:rPr>
          <w:rFonts w:ascii="Times New Roman" w:hAnsi="Times New Roman"/>
          <w:b w:val="false"/>
          <w:i w:val="false"/>
          <w:color w:val="000000"/>
          <w:sz w:val="21"/>
        </w:rPr>
        <w:t>[Filed 7/29/94, Notice 5/25/94—published 8/17/94,effective 9/21/94]</w:t>
      </w:r>
    </w:p>
    <w:p>
      <w:pPr>
        <w:spacing w:before="0" w:after="0"/>
        <w:ind w:left="120"/>
        <w:jc w:val="center"/>
      </w:pPr>
      <w:r>
        <w:rPr>
          <w:rFonts w:ascii="Times New Roman" w:hAnsi="Times New Roman"/>
          <w:b w:val="false"/>
          <w:i w:val="false"/>
          <w:color w:val="000000"/>
          <w:sz w:val="21"/>
        </w:rPr>
        <w:t>[Filed 1/12/95, Notice 11/23/94—published 2/1/95, effective 3/8/95]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6/14/96, Notice 4/10/96—published 7/3/96, effective 8/7/96]</w:t>
      </w:r>
    </w:p>
    <w:p>
      <w:pPr>
        <w:spacing w:before="0" w:after="0"/>
        <w:ind w:left="120"/>
        <w:jc w:val="center"/>
      </w:pPr>
      <w:r>
        <w:rPr>
          <w:rFonts w:ascii="Times New Roman" w:hAnsi="Times New Roman"/>
          <w:b w:val="false"/>
          <w:i w:val="false"/>
          <w:color w:val="000000"/>
          <w:sz w:val="21"/>
        </w:rPr>
        <w:t>[Filed 6/13/97, Notice 4/9/97—published 7/2/97, effective 8/6/97]</w:t>
      </w:r>
    </w:p>
    <w:p>
      <w:pPr>
        <w:spacing w:before="0" w:after="0"/>
        <w:ind w:left="120"/>
        <w:jc w:val="center"/>
      </w:pPr>
      <w:r>
        <w:rPr>
          <w:rFonts w:ascii="Times New Roman" w:hAnsi="Times New Roman"/>
          <w:b w:val="false"/>
          <w:i w:val="false"/>
          <w:color w:val="000000"/>
          <w:sz w:val="21"/>
        </w:rPr>
        <w:t>[Filed 9/29/99, Notice 8/11/99—published 10/20/99, effective 11/24/99]</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5/7/04, Notice 2/18/04—published 5/26/04, effective 6/30/04]</w:t>
      </w:r>
    </w:p>
    <w:p>
      <w:pPr>
        <w:spacing w:before="0" w:after="0"/>
        <w:ind w:left="120"/>
        <w:jc w:val="center"/>
      </w:pPr>
      <w:r>
        <w:rPr>
          <w:rFonts w:ascii="Times New Roman" w:hAnsi="Times New Roman"/>
          <w:b w:val="false"/>
          <w:i w:val="false"/>
          <w:color w:val="000000"/>
          <w:sz w:val="21"/>
        </w:rPr>
        <w:t>[Filed 5/30/07, Notice 4/25/07—published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7972B</w:t>
      </w:r>
      <w:r>
        <w:rPr>
          <w:rFonts w:ascii="Times New Roman" w:hAnsi="Times New Roman"/>
          <w:b w:val="false"/>
          <w:i w:val="false"/>
          <w:color w:val="000000"/>
          <w:sz w:val="21"/>
        </w:rPr>
        <w:t xml:space="preserve"> (Notice ARC 7638B, IAB 3/25/09)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3500C</w:t>
      </w:r>
      <w:r>
        <w:rPr>
          <w:rFonts w:ascii="Times New Roman" w:hAnsi="Times New Roman"/>
          <w:b w:val="false"/>
          <w:i w:val="false"/>
          <w:color w:val="000000"/>
          <w:sz w:val="21"/>
        </w:rPr>
        <w:t xml:space="preserve"> (Notice ARC 3154C,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7778C</w:t>
      </w:r>
      <w:r>
        <w:rPr>
          <w:rFonts w:ascii="Times New Roman" w:hAnsi="Times New Roman"/>
          <w:b w:val="false"/>
          <w:i w:val="false"/>
          <w:color w:val="000000"/>
          <w:sz w:val="21"/>
        </w:rPr>
        <w:t xml:space="preserve"> (Notice ARC 7457C,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9480C</w:t>
      </w:r>
      <w:r>
        <w:rPr>
          <w:rFonts w:ascii="Times New Roman" w:hAnsi="Times New Roman"/>
          <w:b w:val="false"/>
          <w:i w:val="false"/>
          <w:color w:val="000000"/>
          <w:sz w:val="21"/>
        </w:rPr>
        <w:t xml:space="preserve"> (Notice ARC 8858C, IAB 2/19/25)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(8/14/91) of amendments to 3.1, unnumbered paragraphs 3, 8; 3.2(1-4); 3.3(2-9); 3.4(1); 3.4(2)</w:t>
      </w:r>
      <w:r>
        <w:rPr>
          <w:rFonts w:ascii="Times New Roman" w:hAnsi="Times New Roman"/>
          <w:b w:val="false"/>
          <w:i/>
          <w:color w:val="000000"/>
          <w:sz w:val="22"/>
        </w:rPr>
        <w:t>“o”</w:t>
      </w:r>
      <w:r>
        <w:rPr>
          <w:rFonts w:ascii="Times New Roman" w:hAnsi="Times New Roman"/>
          <w:b w:val="false"/>
          <w:i w:val="false"/>
          <w:color w:val="000000"/>
          <w:sz w:val="22"/>
        </w:rPr>
        <w:t>; 3.4(5)</w:t>
      </w:r>
      <w:r>
        <w:rPr>
          <w:rFonts w:ascii="Times New Roman" w:hAnsi="Times New Roman"/>
          <w:b w:val="false"/>
          <w:i/>
          <w:color w:val="000000"/>
          <w:sz w:val="22"/>
        </w:rPr>
        <w:t>“h”</w:t>
      </w:r>
      <w:r>
        <w:rPr>
          <w:rFonts w:ascii="Times New Roman" w:hAnsi="Times New Roman"/>
          <w:b w:val="false"/>
          <w:i w:val="false"/>
          <w:color w:val="000000"/>
          <w:sz w:val="22"/>
        </w:rPr>
        <w:t>; and rules 3.5 and 3.6 delayed 70 days by the Administrative Rules Review Committee. Delay lifted 8/21/91, effective 8/22/91.</w:t>
      </w:r>
    </w:p>
    <w:sectPr>
      <w:footerReference r:id="rId2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pdf" Type="http://schemas.openxmlformats.org/officeDocument/2006/relationships/hyperlink" Id="rId5"/>
    <Relationship TargetMode="External" Target="https://www.legis.iowa.gov/docs/ico/chapter/543B.5.pdf" Type="http://schemas.openxmlformats.org/officeDocument/2006/relationships/hyperlink" Id="rId6"/>
    <Relationship TargetMode="External" Target="https://www.legis.iowa.gov/docs/ico/chapter/543B.5.pdf" Type="http://schemas.openxmlformats.org/officeDocument/2006/relationships/hyperlink" Id="rId7"/>
    <Relationship TargetMode="External" Target="https://www.legis.iowa.gov/docs/ico/chapter/543B.15.pdf" Type="http://schemas.openxmlformats.org/officeDocument/2006/relationships/hyperlink" Id="rId8"/>
    <Relationship TargetMode="External" Target="https://www.legis.iowa.gov/docs/ico/chapter/543B.5.pdf" Type="http://schemas.openxmlformats.org/officeDocument/2006/relationships/hyperlink" Id="rId9"/>
    <Relationship TargetMode="External" Target="https://www.legis.iowa.gov/docs/ico/chapter/543B.15.pdf" Type="http://schemas.openxmlformats.org/officeDocument/2006/relationships/hyperlink" Id="rId10"/>
    <Relationship TargetMode="External" Target="https://www.legis.iowa.gov/docs/iac/rule/481.2016.2.pdf" Type="http://schemas.openxmlformats.org/officeDocument/2006/relationships/hyperlink" Id="rId11"/>
    <Relationship TargetMode="External" Target="https://www.legis.iowa.gov/docs/iac/rule/481.2016.2.pdf" Type="http://schemas.openxmlformats.org/officeDocument/2006/relationships/hyperlink" Id="rId12"/>
    <Relationship TargetMode="External" Target="https://www.legis.iowa.gov/docs/ico/chapter/543B.15.pdf" Type="http://schemas.openxmlformats.org/officeDocument/2006/relationships/hyperlink" Id="rId13"/>
    <Relationship TargetMode="External" Target="https://www.legis.iowa.gov/docs/iac/rule/481.2016.3.pdf" Type="http://schemas.openxmlformats.org/officeDocument/2006/relationships/hyperlink" Id="rId14"/>
    <Relationship TargetMode="External" Target="https://www.legis.iowa.gov/docs/iac/rule/481.2016.3.pdf" Type="http://schemas.openxmlformats.org/officeDocument/2006/relationships/hyperlink" Id="rId15"/>
    <Relationship TargetMode="External" Target="https://www.legis.iowa.gov/docs/ico/chapter/543B.15.pdf" Type="http://schemas.openxmlformats.org/officeDocument/2006/relationships/hyperlink" Id="rId16"/>
    <Relationship TargetMode="External" Target="https://www.legis.iowa.gov/docs/iac/rule/481.2016.4.pdf" Type="http://schemas.openxmlformats.org/officeDocument/2006/relationships/hyperlink" Id="rId17"/>
    <Relationship TargetMode="External" Target="https://www.legis.iowa.gov/docs/ico/chapter/543B.29.pdf" Type="http://schemas.openxmlformats.org/officeDocument/2006/relationships/hyperlink" Id="rId18"/>
    <Relationship TargetMode="External" Target="https://www.legis.iowa.gov/docs/iac/rule/481.2016.4.pdf" Type="http://schemas.openxmlformats.org/officeDocument/2006/relationships/hyperlink" Id="rId19"/>
    <Relationship TargetMode="External" Target="https://www.legis.iowa.gov/docs/ico/chapter/272C.2.pdf" Type="http://schemas.openxmlformats.org/officeDocument/2006/relationships/hyperlink" Id="rId20"/>
    <Relationship TargetMode="External" Target="https://www.legis.iowa.gov/docs/iac/rule/481.2016.2.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543B.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