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2014</w:t>
      </w:r>
    </w:p>
    <w:p>
      <w:pPr>
        <w:spacing w:before="0" w:after="0"/>
        <w:ind w:left="120"/>
        <w:jc w:val="center"/>
      </w:pPr>
      <w:r>
        <w:rPr>
          <w:rFonts w:ascii="Times New Roman" w:hAnsi="Times New Roman"/>
          <w:b w:val="false"/>
          <w:i w:val="false"/>
          <w:color w:val="000000"/>
          <w:sz w:val="21"/>
        </w:rPr>
        <w:t>SELLER PROPERTY CONDITION DISCLOSURE</w:t>
      </w:r>
    </w:p>
    <w:p>
      <w:pPr>
        <w:spacing w:before="0" w:after="0"/>
        <w:ind w:left="120"/>
        <w:jc w:val="center"/>
      </w:pPr>
      <w:r>
        <w:rPr>
          <w:rFonts w:ascii="Times New Roman" w:hAnsi="Times New Roman"/>
          <w:b w:val="false"/>
          <w:i w:val="false"/>
          <w:color w:val="000000"/>
          <w:sz w:val="20"/>
        </w:rPr>
        <w:t>[Prior to 9/4/02, see 193E—Ch 1]</w:t>
      </w:r>
    </w:p>
    <w:p>
      <w:pPr>
        <w:spacing w:before="0" w:after="0"/>
        <w:ind w:left="120"/>
        <w:jc w:val="center"/>
      </w:pPr>
      <w:r>
        <w:rPr>
          <w:rFonts w:ascii="Times New Roman" w:hAnsi="Times New Roman"/>
          <w:b w:val="false"/>
          <w:i w:val="false"/>
          <w:color w:val="000000"/>
          <w:sz w:val="20"/>
        </w:rPr>
        <w:t>[Prior to 6/10/26, see Real Estate Commission[193E]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481—2014.1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condition disclosure. </w:t>
      </w:r>
      <w:r>
        <w:rPr>
          <w:rFonts w:ascii="Times New Roman" w:hAnsi="Times New Roman"/>
          <w:b w:val="false"/>
          <w:i w:val="false"/>
          <w:color w:val="000000"/>
          <w:sz w:val="22"/>
        </w:rPr>
        <w:t xml:space="preserve">The criteria of this chapter applies to transfers of real estate subject to Iowa Code chapter </w:t>
      </w:r>
      <w:hyperlink r:id="rId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For purposes of this chapter, “transfer” means the same as Iowa Code section </w:t>
      </w:r>
      <w:hyperlink r:id="rId6">
        <w:r>
          <w:rPr>
            <w:rStyle w:val="Hyperlink"/>
            <w:rFonts w:ascii="Times New Roman" w:hAnsi="Times New Roman"/>
            <w:b w:val="false"/>
            <w:i w:val="false"/>
            <w:color w:val="000000"/>
            <w:sz w:val="22"/>
          </w:rPr>
          <w:t>558A.1(5)</w:t>
        </w:r>
      </w:hyperlink>
      <w:r>
        <w:rPr>
          <w:rFonts w:ascii="Times New Roman" w:hAnsi="Times New Roman"/>
          <w:b w:val="false"/>
          <w:i w:val="false"/>
          <w:color w:val="000000"/>
          <w:sz w:val="22"/>
        </w:rPr>
        <w:t xml:space="preserve"> and “agent” means the same as Iowa Code section </w:t>
      </w:r>
      <w:hyperlink r:id="rId7">
        <w:r>
          <w:rPr>
            <w:rStyle w:val="Hyperlink"/>
            <w:rFonts w:ascii="Times New Roman" w:hAnsi="Times New Roman"/>
            <w:b w:val="false"/>
            <w:i w:val="false"/>
            <w:color w:val="000000"/>
            <w:sz w:val="22"/>
          </w:rPr>
          <w:t>558A.1(1)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2014.1(1)</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w:t>
      </w:r>
      <w:r>
        <w:rPr>
          <w:rFonts w:ascii="Times New Roman" w:hAnsi="Times New Roman"/>
          <w:b w:val="false"/>
          <w:i w:val="false"/>
          <w:color w:val="000000"/>
          <w:sz w:val="22"/>
        </w:rPr>
        <w:t>Nothing in this rule is intended to prevent any additional disclosure or to relieve the parties or agents in the transaction from making any disclosure otherwise mandated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2014.1(2)</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seller. </w:t>
      </w:r>
      <w:r>
        <w:rPr>
          <w:rFonts w:ascii="Times New Roman" w:hAnsi="Times New Roman"/>
          <w:b w:val="false"/>
          <w:i w:val="false"/>
          <w:color w:val="000000"/>
          <w:sz w:val="22"/>
        </w:rPr>
        <w:t>At the time a licensee obtains a listing, the listing licensee obtains a completed disclosure signed and dated by each seller represented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delivers the executed statement to a potential buyer, a potential buyer’s agent, or any other third party who may be representing a potential buyer, prior to the seller’s making a written offer to sell or the seller’s accepting a written offer to buy.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representing a seller attempts to obtain the buyer’s signature and date of signature on the statement and provides the seller and the buyer with fully executed copies of the disclosure and maintains a copy of the written acknowledgment in the transaction file. If the licensee is unable to obtain the buyer’s signature, the licensee obtains other documentation establishing delivery of the disclosure and maintains the written documentation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transaction closes, the listing broker maintains the completed disclosure statement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executed disclosure statement is delivered to the buyer(s) or the buyer’s agent in accordance with Iowa Code section </w:t>
      </w:r>
      <w:hyperlink r:id="rId8">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 If there is more than one buyer, any one buyer or buyer’s agent may accept delivery of the executed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buyer. </w:t>
      </w:r>
      <w:r>
        <w:rPr>
          <w:rFonts w:ascii="Times New Roman" w:hAnsi="Times New Roman"/>
          <w:b w:val="false"/>
          <w:i w:val="false"/>
          <w:color w:val="000000"/>
          <w:sz w:val="22"/>
        </w:rPr>
        <w:t>A licensee representing a buyer in a transfer notifies the buyer of the seller’s obligation to deliver the property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disclosure statement is not delivered when mandated, the licensee notifies the buyer that the buyer may revoke or withdraw the offer and follows Iowa Code section </w:t>
      </w:r>
      <w:hyperlink r:id="rId9">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2014.1(4)</w:t>
      </w:r>
      <w:r>
        <w:rPr>
          <w:rFonts w:ascii="Times New Roman" w:hAnsi="Times New Roman"/>
          <w:b w:val="false"/>
          <w:i w:val="false"/>
          <w:color w:val="000000"/>
          <w:sz w:val="22"/>
        </w:rPr>
        <w:t> </w:t>
      </w:r>
      <w:r>
        <w:rPr>
          <w:rFonts w:ascii="Times New Roman" w:hAnsi="Times New Roman"/>
          <w:b w:val="false"/>
          <w:i/>
          <w:color w:val="000000"/>
          <w:sz w:val="22"/>
        </w:rPr>
        <w:t xml:space="preserve">Inclusion of written reports. </w:t>
      </w:r>
      <w:r>
        <w:rPr>
          <w:rFonts w:ascii="Times New Roman" w:hAnsi="Times New Roman"/>
          <w:b w:val="false"/>
          <w:i w:val="false"/>
          <w:color w:val="000000"/>
          <w:sz w:val="22"/>
        </w:rPr>
        <w:t xml:space="preserve">A written report or opinion prepared by a person qualified to render the report or opinion may be included in a disclosure statement. A report may be prepared by those authorized by Iowa Code section </w:t>
      </w:r>
      <w:hyperlink r:id="rId10">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identifies the necessary disclosure items which are to be satisfied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is prepared for the specific purpose of satisfying the disclosure criteria, the preparer of the report follows Iowa Code section </w:t>
      </w:r>
      <w:hyperlink r:id="rId11">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provides the seller with information on the proper use of reports if reports are used as part of the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2014.1(5)</w:t>
      </w:r>
      <w:r>
        <w:rPr>
          <w:rFonts w:ascii="Times New Roman" w:hAnsi="Times New Roman"/>
          <w:b w:val="false"/>
          <w:i w:val="false"/>
          <w:color w:val="000000"/>
          <w:sz w:val="22"/>
        </w:rPr>
        <w:t> </w:t>
      </w:r>
      <w:r>
        <w:rPr>
          <w:rFonts w:ascii="Times New Roman" w:hAnsi="Times New Roman"/>
          <w:b w:val="false"/>
          <w:i/>
          <w:color w:val="000000"/>
          <w:sz w:val="22"/>
        </w:rPr>
        <w:t xml:space="preserve">Amended disclosure statement. </w:t>
      </w:r>
      <w:r>
        <w:rPr>
          <w:rFonts w:ascii="Times New Roman" w:hAnsi="Times New Roman"/>
          <w:b w:val="false"/>
          <w:i w:val="false"/>
          <w:color w:val="000000"/>
          <w:sz w:val="22"/>
        </w:rPr>
        <w:t xml:space="preserve">A licensee’s obligations with respect to any amended disclosure statement are the same as the licensee’s obligations with respect to the original disclosure statement. A disclosure statement is amended if authorized by Iowa Code section </w:t>
      </w:r>
      <w:hyperlink r:id="rId12">
        <w:r>
          <w:rPr>
            <w:rStyle w:val="Hyperlink"/>
            <w:rFonts w:ascii="Times New Roman" w:hAnsi="Times New Roman"/>
            <w:b w:val="false"/>
            <w:i w:val="false"/>
            <w:color w:val="000000"/>
            <w:sz w:val="22"/>
          </w:rPr>
          <w:t>558A.3(2)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2014.1(6)</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of disclosure statement by electronic means. </w:t>
      </w:r>
      <w:r>
        <w:rPr>
          <w:rFonts w:ascii="Times New Roman" w:hAnsi="Times New Roman"/>
          <w:b w:val="false"/>
          <w:i w:val="false"/>
          <w:color w:val="000000"/>
          <w:sz w:val="22"/>
        </w:rPr>
        <w:t xml:space="preserve">Whether or not a licensee assists in a real estate transaction, electronic delivery of any property disclosure statement mandated by Iowa Code chapter </w:t>
      </w:r>
      <w:hyperlink r:id="rId1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is not deemed completed until written acknowledgment of receipt is provided to the transferor by the transferee or the transferee’s agent. Acceptable acknowledgment of receipt includes return of a fully executed copy of the property disclosure statement to the transferor by the transferee or the transferee’s agent; or a letter, electronic mail, text message, or other written correspondence to the transferor from the transferee or the transferee’s agent acknowledging receipt. A computer-generated read receipt, facsimile delivery confirmation, or other automated return message is not deemed acknowledgment of receipt for purposes of this rule.</w:t>
      </w:r>
    </w:p>
    <w:p>
      <w:pPr>
        <w:spacing w:before="0" w:after="0"/>
        <w:ind w:left="120"/>
        <w:jc w:val="both"/>
      </w:pPr>
      <w:r>
        <w:rPr>
          <w:rFonts w:ascii="Times New Roman" w:hAnsi="Times New Roman"/>
          <w:b/>
          <w:i w:val="false"/>
          <w:color w:val="000000"/>
          <w:sz w:val="22"/>
        </w:rPr>
        <w:t>2014.1(7)</w:t>
      </w:r>
      <w:r>
        <w:rPr>
          <w:rFonts w:ascii="Times New Roman" w:hAnsi="Times New Roman"/>
          <w:b w:val="false"/>
          <w:i w:val="false"/>
          <w:color w:val="000000"/>
          <w:sz w:val="22"/>
        </w:rPr>
        <w:t> </w:t>
      </w:r>
      <w:r>
        <w:rPr>
          <w:rFonts w:ascii="Times New Roman" w:hAnsi="Times New Roman"/>
          <w:b w:val="false"/>
          <w:i/>
          <w:color w:val="000000"/>
          <w:sz w:val="22"/>
        </w:rPr>
        <w:t xml:space="preserve">Minimum disclosure statement contents for all transfers. </w:t>
      </w:r>
      <w:r>
        <w:rPr>
          <w:rFonts w:ascii="Times New Roman" w:hAnsi="Times New Roman"/>
          <w:b w:val="false"/>
          <w:i w:val="false"/>
          <w:color w:val="000000"/>
          <w:sz w:val="22"/>
        </w:rPr>
        <w:t xml:space="preserve">All property disclosure statements, whether or not a licensee assists in the transaction, contain at a minimum the information mandated by the following sample statement. No particular language is necessary in the disclosure statement provided that the necessary disclosure items are included and the disclosure complies with Iowa Code chapter </w:t>
      </w:r>
      <w:hyperlink r:id="rId14">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To assist real estate licensees and the public, the commission recommends use of the following sample language: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0"/>
        </w:rPr>
        <w:t>RESIDENTIAL PROPERTY SELLER DISCLOSURE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PURPOSE:</w:t>
      </w:r>
    </w:p>
    <w:p>
      <w:pPr>
        <w:spacing w:before="0" w:after="0"/>
        <w:ind w:left="460"/>
        <w:jc w:val="both"/>
      </w:pPr>
      <w:r>
        <w:rPr>
          <w:rFonts w:ascii="Times New Roman" w:hAnsi="Times New Roman"/>
          <w:b w:val="false"/>
          <w:i w:val="false"/>
          <w:color w:val="000000"/>
          <w:sz w:val="22"/>
        </w:rPr>
        <w:t xml:space="preserve">Use this statement to disclose information as mandated by Iowa Code chapter </w:t>
      </w:r>
      <w:hyperlink r:id="rId1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This law obligates certain sellers of residential property that includes at least one and no more than four dwelling units to disclose information about the property to be sold. The following disclosures are made by the seller(s) and not by any agent acting on behalf of the seller(s).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INSTRUCTIONS TO SELLER(S):</w:t>
      </w:r>
    </w:p>
    <w:tbl>
      <w:tblPr>
        <w:tblW w:w="0" w:type="auto"/>
        <w:tblCellSpacing w:w="0" w:type="auto"/>
        <w:tblBorders>
          <w:top w:val="none"/>
          <w:left w:val="none"/>
          <w:bottom w:val="none"/>
          <w:right w:val="none"/>
          <w:insideH w:val="none"/>
          <w:insideV w:val="none"/>
        </w:tblBorders>
        <w:tblLayout w:type="fixed"/>
      </w:tblPr>
      <w:tblGrid>
        <w:gridCol w:w="6588"/>
        <w:gridCol w:w="1092"/>
        <w:gridCol w:w="960"/>
        <w:gridCol w:w="960"/>
      </w:tblGrid>
      <w:tr>
        <w:trPr>
          <w:trHeight w:val="1275" w:hRule="atLeast"/>
        </w:trPr>
        <w:tc>
          <w:tcPr>
            <w:tcW w:w="0" w:type="auto"/>
            <w:gridSpan w:val="4"/>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1.   </w:t>
            </w:r>
            <w:r>
              <w:rPr>
                <w:rFonts w:ascii="Times New Roman" w:hAnsi="Times New Roman"/>
                <w:b w:val="false"/>
                <w:i w:val="false"/>
                <w:color w:val="000000"/>
                <w:sz w:val="14"/>
              </w:rPr>
              <w:t xml:space="preserve">Seller(s) completes this statement. Respond to all questions, or attach reports allowed by Iowa Code section </w:t>
            </w:r>
            <w:hyperlink r:id="rId16">
              <w:r>
                <w:rPr>
                  <w:rStyle w:val="Hyperlink"/>
                  <w:rFonts w:ascii="Times New Roman" w:hAnsi="Times New Roman"/>
                  <w:b w:val="false"/>
                  <w:i w:val="false"/>
                  <w:color w:val="000000"/>
                  <w:sz w:val="14"/>
                </w:rPr>
                <w:t>558A.4(2)</w:t>
              </w:r>
            </w:hyperlink>
            <w:r>
              <w:rPr>
                <w:rFonts w:ascii="Times New Roman" w:hAnsi="Times New Roman"/>
                <w:b w:val="false"/>
                <w:i w:val="false"/>
                <w:color w:val="000000"/>
                <w:sz w:val="14"/>
              </w:rPr>
              <w:t>;</w:t>
            </w:r>
          </w:p>
          <w:p>
            <w:pPr>
              <w:spacing w:before="0" w:after="0" w:line="264"/>
              <w:ind w:left="160"/>
              <w:jc w:val="left"/>
            </w:pPr>
            <w:r>
              <w:rPr>
                <w:rFonts w:ascii="Times New Roman" w:hAnsi="Times New Roman"/>
                <w:b w:val="false"/>
                <w:i w:val="false"/>
                <w:color w:val="000000"/>
                <w:sz w:val="14"/>
              </w:rPr>
              <w:t>    2.   </w:t>
            </w:r>
            <w:r>
              <w:rPr>
                <w:rFonts w:ascii="Times New Roman" w:hAnsi="Times New Roman"/>
                <w:b w:val="false"/>
                <w:i w:val="false"/>
                <w:color w:val="000000"/>
                <w:sz w:val="14"/>
              </w:rPr>
              <w:t>Disclose all known conditions materially affecting this property;</w:t>
            </w:r>
          </w:p>
          <w:p>
            <w:pPr>
              <w:spacing w:before="0" w:after="0" w:line="264"/>
              <w:ind w:left="160"/>
              <w:jc w:val="left"/>
            </w:pPr>
            <w:r>
              <w:rPr>
                <w:rFonts w:ascii="Times New Roman" w:hAnsi="Times New Roman"/>
                <w:b w:val="false"/>
                <w:i w:val="false"/>
                <w:color w:val="000000"/>
                <w:sz w:val="14"/>
              </w:rPr>
              <w:t>    3.   </w:t>
            </w:r>
            <w:r>
              <w:rPr>
                <w:rFonts w:ascii="Times New Roman" w:hAnsi="Times New Roman"/>
                <w:b w:val="false"/>
                <w:i w:val="false"/>
                <w:color w:val="000000"/>
                <w:sz w:val="14"/>
              </w:rPr>
              <w:t xml:space="preserve">If an item does not apply to this property, indicate that it is not applicable </w:t>
            </w:r>
            <w:r>
              <w:rPr>
                <w:rFonts w:ascii="Times New Roman" w:hAnsi="Times New Roman"/>
                <w:b/>
                <w:i w:val="false"/>
                <w:color w:val="000000"/>
                <w:sz w:val="14"/>
              </w:rPr>
              <w:t>(N/A)</w:t>
            </w:r>
            <w:r>
              <w:rPr>
                <w:rFonts w:ascii="Times New Roman" w:hAnsi="Times New Roman"/>
                <w:b w:val="false"/>
                <w:i w:val="false"/>
                <w:color w:val="000000"/>
                <w:sz w:val="14"/>
              </w:rPr>
              <w:t>;</w:t>
            </w:r>
          </w:p>
          <w:p>
            <w:pPr>
              <w:spacing w:before="0" w:after="0" w:line="264"/>
              <w:ind w:left="160"/>
              <w:jc w:val="left"/>
            </w:pPr>
            <w:r>
              <w:rPr>
                <w:rFonts w:ascii="Times New Roman" w:hAnsi="Times New Roman"/>
                <w:b w:val="false"/>
                <w:i w:val="false"/>
                <w:color w:val="000000"/>
                <w:sz w:val="14"/>
              </w:rPr>
              <w:t>    4.   </w:t>
            </w:r>
            <w:r>
              <w:rPr>
                <w:rFonts w:ascii="Times New Roman" w:hAnsi="Times New Roman"/>
                <w:b w:val="false"/>
                <w:i w:val="false"/>
                <w:color w:val="000000"/>
                <w:sz w:val="14"/>
              </w:rPr>
              <w:t xml:space="preserve">Please provide information in good faith and make a reasonable effort to ascertain the necessary information. If the necessary information is </w:t>
            </w:r>
            <w:r>
              <w:rPr>
                <w:rFonts w:ascii="Times New Roman" w:hAnsi="Times New Roman"/>
                <w:b/>
                <w:i w:val="false"/>
                <w:color w:val="000000"/>
                <w:sz w:val="14"/>
              </w:rPr>
              <w:t>unknown</w:t>
            </w:r>
            <w:r>
              <w:rPr>
                <w:rFonts w:ascii="Times New Roman" w:hAnsi="Times New Roman"/>
                <w:b w:val="false"/>
                <w:i w:val="false"/>
                <w:color w:val="000000"/>
                <w:sz w:val="14"/>
              </w:rPr>
              <w:t xml:space="preserve"> or is </w:t>
            </w:r>
            <w:r>
              <w:rPr>
                <w:rFonts w:ascii="Times New Roman" w:hAnsi="Times New Roman"/>
                <w:b/>
                <w:i w:val="false"/>
                <w:color w:val="000000"/>
                <w:sz w:val="14"/>
              </w:rPr>
              <w:t>unavailable</w:t>
            </w:r>
            <w:r>
              <w:rPr>
                <w:rFonts w:ascii="Times New Roman" w:hAnsi="Times New Roman"/>
                <w:b w:val="false"/>
                <w:i w:val="false"/>
                <w:color w:val="000000"/>
                <w:sz w:val="14"/>
              </w:rPr>
              <w:t xml:space="preserve"> following a reasonable effort, use an </w:t>
            </w:r>
            <w:r>
              <w:rPr>
                <w:rFonts w:ascii="Times New Roman" w:hAnsi="Times New Roman"/>
                <w:b/>
                <w:i w:val="false"/>
                <w:color w:val="000000"/>
                <w:sz w:val="14"/>
              </w:rPr>
              <w:t>approximation</w:t>
            </w:r>
            <w:r>
              <w:rPr>
                <w:rFonts w:ascii="Times New Roman" w:hAnsi="Times New Roman"/>
                <w:b w:val="false"/>
                <w:i w:val="false"/>
                <w:color w:val="000000"/>
                <w:sz w:val="14"/>
              </w:rPr>
              <w:t xml:space="preserve"> of the information, or indicate that the information is </w:t>
            </w:r>
            <w:r>
              <w:rPr>
                <w:rFonts w:ascii="Times New Roman" w:hAnsi="Times New Roman"/>
                <w:b/>
                <w:i w:val="false"/>
                <w:color w:val="000000"/>
                <w:sz w:val="14"/>
              </w:rPr>
              <w:t>unknown (UNK)</w:t>
            </w:r>
            <w:r>
              <w:rPr>
                <w:rFonts w:ascii="Times New Roman" w:hAnsi="Times New Roman"/>
                <w:b w:val="false"/>
                <w:i w:val="false"/>
                <w:color w:val="000000"/>
                <w:sz w:val="14"/>
              </w:rPr>
              <w:t xml:space="preserve">. All </w:t>
            </w:r>
            <w:r>
              <w:rPr>
                <w:rFonts w:ascii="Times New Roman" w:hAnsi="Times New Roman"/>
                <w:b/>
                <w:i w:val="false"/>
                <w:color w:val="000000"/>
                <w:sz w:val="14"/>
              </w:rPr>
              <w:t>approximations</w:t>
            </w:r>
            <w:r>
              <w:rPr>
                <w:rFonts w:ascii="Times New Roman" w:hAnsi="Times New Roman"/>
                <w:b w:val="false"/>
                <w:i w:val="false"/>
                <w:color w:val="000000"/>
                <w:sz w:val="14"/>
              </w:rPr>
              <w:t xml:space="preserve"> are identified as </w:t>
            </w:r>
            <w:r>
              <w:rPr>
                <w:rFonts w:ascii="Times New Roman" w:hAnsi="Times New Roman"/>
                <w:b/>
                <w:i w:val="false"/>
                <w:color w:val="000000"/>
                <w:sz w:val="14"/>
              </w:rPr>
              <w:t>approximations (AP)</w:t>
            </w:r>
            <w:r>
              <w:rPr>
                <w:rFonts w:ascii="Times New Roman" w:hAnsi="Times New Roman"/>
                <w:b w:val="false"/>
                <w:i w:val="false"/>
                <w:color w:val="000000"/>
                <w:sz w:val="14"/>
              </w:rPr>
              <w:t>;</w:t>
            </w:r>
          </w:p>
          <w:p>
            <w:pPr>
              <w:spacing w:before="0" w:after="0" w:line="264"/>
              <w:ind w:left="160"/>
              <w:jc w:val="left"/>
            </w:pPr>
            <w:r>
              <w:rPr>
                <w:rFonts w:ascii="Times New Roman" w:hAnsi="Times New Roman"/>
                <w:b w:val="false"/>
                <w:i w:val="false"/>
                <w:color w:val="000000"/>
                <w:sz w:val="14"/>
              </w:rPr>
              <w:t>    5.   </w:t>
            </w:r>
            <w:r>
              <w:rPr>
                <w:rFonts w:ascii="Times New Roman" w:hAnsi="Times New Roman"/>
                <w:b w:val="false"/>
                <w:i w:val="false"/>
                <w:color w:val="000000"/>
                <w:sz w:val="14"/>
              </w:rPr>
              <w:t>Additional pages may be attached as needed;</w:t>
            </w:r>
          </w:p>
          <w:p>
            <w:pPr>
              <w:spacing w:before="0" w:after="0" w:line="264"/>
              <w:ind w:left="160"/>
              <w:jc w:val="left"/>
            </w:pPr>
            <w:r>
              <w:rPr>
                <w:rFonts w:ascii="Times New Roman" w:hAnsi="Times New Roman"/>
                <w:b w:val="false"/>
                <w:i w:val="false"/>
                <w:color w:val="000000"/>
                <w:sz w:val="14"/>
              </w:rPr>
              <w:t>    6.   </w:t>
            </w:r>
            <w:r>
              <w:rPr>
                <w:rFonts w:ascii="Times New Roman" w:hAnsi="Times New Roman"/>
                <w:b w:val="false"/>
                <w:i w:val="false"/>
                <w:color w:val="000000"/>
                <w:sz w:val="14"/>
              </w:rPr>
              <w:t>Keep a copy of this statement with your other important papers.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 Basement/Foundation: Any known water or other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2. Roof: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3. Sewer System: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4. Heating System(s):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33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5. Central Cooling System(s):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345"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p>
            <w:pPr>
              <w:spacing w:before="0" w:after="0" w:line="264"/>
              <w:ind w:left="160"/>
              <w:jc w:val="left"/>
            </w:pPr>
            <w:r>
              <w:rPr>
                <w:rFonts w:ascii="Times New Roman" w:hAnsi="Times New Roman"/>
                <w:b w:val="false"/>
                <w:i w:val="false"/>
                <w:color w:val="000000"/>
                <w:sz w:val="14"/>
              </w:rPr>
              <w:t>If N/A check here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6. Plumbing System(s):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Electrical System(s):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 Pest Infestation (e.g., termites, carpenter ants):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date(s) of treatment: ____/____/____</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Any known structural damage?</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date(s) of repairs/replacement: ____/____/____</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9. Asbestos: Any known to be present in the structure?</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 xml:space="preserve">If yes, explain: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10. Radon: Any known tests for the presence of radon gas?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last report: ____/____/____</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 xml:space="preserve">and results: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11. Lead-Based Paint: Any known to be present in the structure?</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12. Flood Plain: Do you know if the property is located in a flood plain?</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13. Are there currently, or have there ever been, any lead water service lines present?</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Unknown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 xml:space="preserve">If yes, please provide more information: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14. Zoning: Do you know the zoning classification of the property?</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 xml:space="preserve">If yes, what is the zoning classification?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15. Covenants: Is the property subject to restrictive covenants?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 xml:space="preserve">If yes, attach a copy or state where a true, current copy of the covenants can be obtained: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left"/>
            </w:pPr>
          </w:p>
        </w:tc>
      </w:tr>
      <w:tr>
        <w:trPr>
          <w:trHeight w:val="495" w:hRule="atLeast"/>
        </w:trPr>
        <w:tc>
          <w:tcPr>
            <w:tcW w:w="0" w:type="auto"/>
            <w:gridSpan w:val="2"/>
            <w:tcBorders/>
            <w:tcMar>
              <w:top w:w="30" w:type="dxa"/>
              <w:left w:w="30" w:type="dxa"/>
              <w:bottom w:w="15" w:type="dxa"/>
              <w:right w:w="30" w:type="dxa"/>
            </w:tcMar>
            <w:vAlign w:val="top"/>
          </w:tcPr>
          <w:p>
            <w:pPr>
              <w:spacing w:before="0" w:after="0" w:line="264"/>
              <w:ind w:left="454"/>
              <w:jc w:val="both"/>
            </w:pPr>
            <w:r>
              <w:rPr>
                <w:rFonts w:ascii="Times New Roman" w:hAnsi="Times New Roman"/>
                <w:b w:val="false"/>
                <w:i w:val="false"/>
                <w:color w:val="000000"/>
                <w:sz w:val="14"/>
              </w:rPr>
              <w:t>16. Shared or Co-Owned Features: Any features of the property known to be shared in common with adjoining landowners, such as walls, fences, roads, and driveways whose use or maintenance responsibility may have an effect on the property?</w:t>
            </w:r>
          </w:p>
        </w:tc>
        <w:tc>
          <w:tcPr>
            <w:tcW w:w="96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No [ ]</w:t>
            </w:r>
          </w:p>
        </w:tc>
      </w:tr>
      <w:tr>
        <w:trPr>
          <w:trHeight w:val="345" w:hRule="atLeast"/>
        </w:trPr>
        <w:tc>
          <w:tcPr>
            <w:tcW w:w="0" w:type="auto"/>
            <w:gridSpan w:val="2"/>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 xml:space="preserve">Any known </w:t>
            </w:r>
            <w:r>
              <w:rPr>
                <w:rFonts w:ascii="Times New Roman" w:hAnsi="Times New Roman"/>
                <w:b w:val="false"/>
                <w:i/>
                <w:color w:val="000000"/>
                <w:sz w:val="14"/>
              </w:rPr>
              <w:t>“common areas”</w:t>
            </w:r>
            <w:r>
              <w:rPr>
                <w:rFonts w:ascii="Times New Roman" w:hAnsi="Times New Roman"/>
                <w:b w:val="false"/>
                <w:i w:val="false"/>
                <w:color w:val="000000"/>
                <w:sz w:val="14"/>
              </w:rPr>
              <w:t xml:space="preserve"> such as pools, tennis courts, walkways, or other areas co-owned with others, or a Homeowner’s Association which has any authority over the property?</w:t>
            </w:r>
          </w:p>
        </w:tc>
        <w:tc>
          <w:tcPr>
            <w:tcW w:w="96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Physical Problems: Any known settling, flooding, drainage or grading problems?</w:t>
            </w:r>
          </w:p>
        </w:tc>
        <w:tc>
          <w:tcPr>
            <w:tcW w:w="96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18. Structural Damage: Any known structural damage?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 Well and Pump: Any known problems?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N/A check here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Any known repairs?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repairs/replacement: ____/____/____</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Any known water tests?</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If yes, date of last report: ____/____/____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 xml:space="preserve">and results: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20. Septic Tanks/Drain Fields: Any known problems?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Yes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N/A check here [ ]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Location of tank:</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4"/>
            <w:tcBorders/>
            <w:tcMar>
              <w:top w:w="30" w:type="dxa"/>
              <w:left w:w="30" w:type="dxa"/>
              <w:bottom w:w="15" w:type="dxa"/>
              <w:right w:w="30" w:type="dxa"/>
            </w:tcMar>
            <w:vAlign w:val="top"/>
          </w:tcPr>
          <w:p>
            <w:pPr>
              <w:spacing w:before="0" w:after="0" w:line="264"/>
              <w:ind w:left="160"/>
              <w:jc w:val="both"/>
            </w:pP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Date tank last cleaned: ____/____/____</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xml:space="preserve">You need to explain any </w:t>
      </w:r>
      <w:r>
        <w:rPr>
          <w:rFonts w:ascii="Times New Roman" w:hAnsi="Times New Roman"/>
          <w:b w:val="false"/>
          <w:i/>
          <w:color w:val="000000"/>
          <w:sz w:val="22"/>
        </w:rPr>
        <w:t>“YES”</w:t>
      </w:r>
      <w:r>
        <w:rPr>
          <w:rFonts w:ascii="Times New Roman" w:hAnsi="Times New Roman"/>
          <w:b w:val="false"/>
          <w:i w:val="false"/>
          <w:color w:val="000000"/>
          <w:sz w:val="22"/>
        </w:rPr>
        <w:t xml:space="preserve"> response(s) above. Use the back of this statement or additional sheets as necessary: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SELLER(S) DISCLOSURE: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Seller(s) discloses the information regarding this property based on information known or reasonably available to the Seller(s).</w:t>
      </w:r>
    </w:p>
    <w:p>
      <w:pPr>
        <w:spacing w:before="0" w:after="0"/>
        <w:ind w:left="120"/>
        <w:jc w:val="both"/>
      </w:pPr>
      <w:r>
        <w:rPr>
          <w:rFonts w:ascii="Times New Roman" w:hAnsi="Times New Roman"/>
          <w:b w:val="false"/>
          <w:i w:val="false"/>
          <w:color w:val="000000"/>
          <w:sz w:val="22"/>
        </w:rPr>
        <w:t>The Seller(s) has owned the property since ____/____/____. The Seller(s) certifies that as of the date signed this information is true and accurate to the best of my/our knowledge.</w:t>
      </w:r>
    </w:p>
    <w:p>
      <w:pPr>
        <w:spacing w:before="0" w:after="0"/>
        <w:ind w:left="120"/>
        <w:jc w:val="both"/>
      </w:pPr>
      <w:r>
        <w:rPr>
          <w:rFonts w:ascii="Times New Roman" w:hAnsi="Times New Roman"/>
          <w:b w:val="false"/>
          <w:i w:val="false"/>
          <w:color w:val="000000"/>
          <w:sz w:val="22"/>
        </w:rPr>
        <w:t>Seller(s) acknowledges that Buyer(s) be provided with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180" w:hRule="atLeast"/>
        </w:trPr>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Seller</w:t>
            </w:r>
          </w:p>
        </w:tc>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Seller</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Date ____/____/____ </w:t>
            </w:r>
          </w:p>
        </w:tc>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 ____/____/____</w:t>
            </w:r>
          </w:p>
        </w:tc>
      </w:tr>
    </w:tbl>
    <w:p>
      <w:pPr>
        <w:spacing w:before="0" w:after="0"/>
        <w:ind w:left="120"/>
        <w:jc w:val="both"/>
      </w:pPr>
      <w:r>
        <w:rPr>
          <w:rFonts w:ascii="Times New Roman" w:hAnsi="Times New Roman"/>
          <w:b/>
          <w:i w:val="false"/>
          <w:color w:val="000000"/>
          <w:sz w:val="22"/>
        </w:rPr>
        <w:t>BUYER(S) ACKNOWLEDGMENT:</w:t>
      </w:r>
    </w:p>
    <w:p>
      <w:pPr>
        <w:spacing w:before="0" w:after="0"/>
        <w:ind w:left="120"/>
        <w:jc w:val="both"/>
      </w:pPr>
      <w:r>
        <w:rPr>
          <w:rFonts w:ascii="Times New Roman" w:hAnsi="Times New Roman"/>
          <w:b w:val="false"/>
          <w:i w:val="false"/>
          <w:color w:val="000000"/>
          <w:sz w:val="22"/>
        </w:rPr>
        <w:t>Buyer(s) acknowledges receipt of a copy of this Real Estate Disclosure Statement. This statement is not intended to be a warranty or to substitute for any inspection Buyer(s) may wish to obtain.</w:t>
      </w:r>
    </w:p>
    <w:p>
      <w:pPr>
        <w:spacing w:before="0" w:after="0"/>
        <w:ind w:left="120"/>
        <w:jc w:val="both"/>
      </w:pPr>
      <w:r>
        <w:rPr>
          <w:rFonts w:ascii="Times New Roman" w:hAnsi="Times New Roman"/>
          <w:b w:val="false"/>
          <w:i w:val="false"/>
          <w:color w:val="000000"/>
          <w:sz w:val="22"/>
        </w:rPr>
        <w:t>Buyer(s) acknowledges receipt of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180" w:hRule="atLeast"/>
        </w:trPr>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Buyer</w:t>
            </w:r>
          </w:p>
        </w:tc>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Buyer</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Date ____/____/____ </w:t>
            </w:r>
          </w:p>
        </w:tc>
        <w:tc>
          <w:tcPr>
            <w:tcW w:w="57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 ____/____/____</w:t>
            </w:r>
          </w:p>
        </w:tc>
      </w:tr>
    </w:tbl>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0027D</w:t>
      </w:r>
      <w:r>
        <w:rPr>
          <w:rFonts w:ascii="Times New Roman" w:hAnsi="Times New Roman"/>
          <w:b w:val="false"/>
          <w:i w:val="false"/>
          <w:color w:val="000000"/>
          <w:sz w:val="16"/>
        </w:rPr>
        <w:t>, IAB 1/21/26, effective 4/22/26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11/7/05, Notice 8/31/05—published 12/7/05, effective 1/11/06]</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[Filed ARC 7950B</w:t>
      </w:r>
      <w:r>
        <w:rPr>
          <w:rFonts w:ascii="Times New Roman" w:hAnsi="Times New Roman"/>
          <w:b w:val="false"/>
          <w:i w:val="false"/>
          <w:color w:val="000000"/>
          <w:sz w:val="21"/>
        </w:rPr>
        <w:t xml:space="preserve"> (Notice ARC 7639B, IAB 3/25/09)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8285B</w:t>
      </w:r>
      <w:r>
        <w:rPr>
          <w:rFonts w:ascii="Times New Roman" w:hAnsi="Times New Roman"/>
          <w:b w:val="false"/>
          <w:i w:val="false"/>
          <w:color w:val="000000"/>
          <w:sz w:val="21"/>
        </w:rPr>
        <w:t xml:space="preserve"> (Notice ARC 8057B,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7776C</w:t>
      </w:r>
      <w:r>
        <w:rPr>
          <w:rFonts w:ascii="Times New Roman" w:hAnsi="Times New Roman"/>
          <w:b w:val="false"/>
          <w:i w:val="false"/>
          <w:color w:val="000000"/>
          <w:sz w:val="21"/>
        </w:rPr>
        <w:t xml:space="preserve"> (Notice ARC 7455C,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0027D</w:t>
      </w:r>
      <w:r>
        <w:rPr>
          <w:rFonts w:ascii="Times New Roman" w:hAnsi="Times New Roman"/>
          <w:b w:val="false"/>
          <w:i w:val="false"/>
          <w:color w:val="000000"/>
          <w:sz w:val="21"/>
        </w:rPr>
        <w:t xml:space="preserve"> (Notice ARC 9592C, IAB 10/1/25)</w:t>
      </w:r>
      <w:r>
        <w:rPr>
          <w:rFonts w:ascii="Times New Roman" w:hAnsi="Times New Roman"/>
          <w:b w:val="false"/>
          <w:i w:val="false"/>
          <w:color w:val="000000"/>
          <w:sz w:val="21"/>
        </w:rPr>
        <w:t>, IAB 1/21/26, effective 4/22/26]</w:t>
      </w:r>
    </w:p>
    <w:p>
      <w:pPr>
        <w:spacing w:before="0" w:after="0"/>
        <w:ind w:left="120"/>
        <w:jc w:val="center"/>
      </w:pPr>
      <w:r>
        <w:rPr>
          <w:rFonts w:ascii="Times New Roman" w:hAnsi="Times New Roman"/>
          <w:b w:val="false"/>
          <w:i w:val="false"/>
          <w:color w:val="000000"/>
          <w:sz w:val="21"/>
        </w:rPr>
        <w:t>[Editorial change: IAC Supplement 6/10/26]</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8A.pdf" Type="http://schemas.openxmlformats.org/officeDocument/2006/relationships/hyperlink" Id="rId5"/>
    <Relationship TargetMode="External" Target="https://www.legis.iowa.gov/docs/ico/chapter/558A.1.pdf" Type="http://schemas.openxmlformats.org/officeDocument/2006/relationships/hyperlink" Id="rId6"/>
    <Relationship TargetMode="External" Target="https://www.legis.iowa.gov/docs/ico/chapter/558A.1.pdf" Type="http://schemas.openxmlformats.org/officeDocument/2006/relationships/hyperlink" Id="rId7"/>
    <Relationship TargetMode="External" Target="https://www.legis.iowa.gov/docs/ico/chapter/558A.2.pdf" Type="http://schemas.openxmlformats.org/officeDocument/2006/relationships/hyperlink" Id="rId8"/>
    <Relationship TargetMode="External" Target="https://www.legis.iowa.gov/docs/ico/chapter/558A.2.pdf" Type="http://schemas.openxmlformats.org/officeDocument/2006/relationships/hyperlink" Id="rId9"/>
    <Relationship TargetMode="External" Target="https://www.legis.iowa.gov/docs/ico/chapter/558A.4.pdf" Type="http://schemas.openxmlformats.org/officeDocument/2006/relationships/hyperlink" Id="rId10"/>
    <Relationship TargetMode="External" Target="https://www.legis.iowa.gov/docs/ico/chapter/558A.4.pdf" Type="http://schemas.openxmlformats.org/officeDocument/2006/relationships/hyperlink" Id="rId11"/>
    <Relationship TargetMode="External" Target="https://www.legis.iowa.gov/docs/ico/chapter/558A.3.pdf" Type="http://schemas.openxmlformats.org/officeDocument/2006/relationships/hyperlink" Id="rId12"/>
    <Relationship TargetMode="External" Target="https://www.legis.iowa.gov/docs/ico/chapter/558A.pdf" Type="http://schemas.openxmlformats.org/officeDocument/2006/relationships/hyperlink" Id="rId13"/>
    <Relationship TargetMode="External" Target="https://www.legis.iowa.gov/docs/ico/chapter/558A.pdf" Type="http://schemas.openxmlformats.org/officeDocument/2006/relationships/hyperlink" Id="rId14"/>
    <Relationship TargetMode="External" Target="https://www.legis.iowa.gov/docs/ico/chapter/558A.pdf" Type="http://schemas.openxmlformats.org/officeDocument/2006/relationships/hyperlink" Id="rId15"/>
    <Relationship TargetMode="External" Target="https://www.legis.iowa.gov/docs/ico/chapter/558A.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co/chapter/558A.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