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2012</w:t>
      </w:r>
    </w:p>
    <w:p>
      <w:pPr>
        <w:spacing w:before="0" w:after="0"/>
        <w:ind w:left="120"/>
        <w:jc w:val="center"/>
      </w:pPr>
      <w:r>
        <w:rPr>
          <w:rFonts w:ascii="Times New Roman" w:hAnsi="Times New Roman"/>
          <w:b w:val="false"/>
          <w:i w:val="false"/>
          <w:color w:val="000000"/>
          <w:sz w:val="21"/>
        </w:rPr>
        <w:t>DISCLOSURE OF RELATIONSHIPS</w:t>
      </w:r>
    </w:p>
    <w:p>
      <w:pPr>
        <w:spacing w:before="0" w:after="0"/>
        <w:ind w:left="120"/>
        <w:jc w:val="center"/>
      </w:pPr>
      <w:r>
        <w:rPr>
          <w:rFonts w:ascii="Times New Roman" w:hAnsi="Times New Roman"/>
          <w:b w:val="false"/>
          <w:i w:val="false"/>
          <w:color w:val="000000"/>
          <w:sz w:val="20"/>
        </w:rPr>
        <w:t>[Prior to 9/4/02, see 193E—Ch 1]</w:t>
      </w:r>
    </w:p>
    <w:p>
      <w:pPr>
        <w:spacing w:before="0" w:after="0"/>
        <w:ind w:left="120"/>
        <w:jc w:val="center"/>
      </w:pPr>
      <w:r>
        <w:rPr>
          <w:rFonts w:ascii="Times New Roman" w:hAnsi="Times New Roman"/>
          <w:b w:val="false"/>
          <w:i w:val="false"/>
          <w:color w:val="000000"/>
          <w:sz w:val="20"/>
        </w:rPr>
        <w:t>[Prior to 6/10/26, see Real Estate Commission[193E]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481—2012.1</w:t>
      </w:r>
      <w:r>
        <w:rPr>
          <w:rFonts w:ascii="Times New Roman" w:hAnsi="Times New Roman"/>
          <w:b/>
          <w:i w:val="false"/>
          <w:color w:val="000000"/>
          <w:sz w:val="22"/>
        </w:rPr>
        <w:t xml:space="preserve">(543B) </w:t>
      </w:r>
      <w:r>
        <w:rPr>
          <w:rFonts w:ascii="Times New Roman" w:hAnsi="Times New Roman"/>
          <w:b/>
          <w:i w:val="false"/>
          <w:color w:val="000000"/>
          <w:sz w:val="22"/>
        </w:rPr>
        <w:t xml:space="preserve">Written company policy needed. </w:t>
      </w:r>
      <w:r>
        <w:rPr>
          <w:rFonts w:ascii="Times New Roman" w:hAnsi="Times New Roman"/>
          <w:b w:val="false"/>
          <w:i w:val="false"/>
          <w:color w:val="000000"/>
          <w:sz w:val="22"/>
        </w:rPr>
        <w:t>Every licensed sole-proprietor single broker, firm, partnership, limited liability company, association, or corporation has a written company policy. Regardless of the type or types of agency relationships offered, a written company policy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2012.1(1)</w:t>
      </w:r>
      <w:r>
        <w:rPr>
          <w:rFonts w:ascii="Times New Roman" w:hAnsi="Times New Roman"/>
          <w:b w:val="false"/>
          <w:i w:val="false"/>
          <w:color w:val="000000"/>
          <w:sz w:val="22"/>
        </w:rPr>
        <w:t> </w:t>
      </w:r>
      <w:r>
        <w:rPr>
          <w:rFonts w:ascii="Times New Roman" w:hAnsi="Times New Roman"/>
          <w:b w:val="false"/>
          <w:i w:val="false"/>
          <w:color w:val="000000"/>
          <w:sz w:val="22"/>
        </w:rPr>
        <w:t>The written company policy identifies and describes the types of real estate brokerage relationships in which the broker and affiliated licensees may engage with seller, landlord, buyer, or tenant as a part of any real estate brokerage business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2012.1(2)</w:t>
      </w:r>
      <w:r>
        <w:rPr>
          <w:rFonts w:ascii="Times New Roman" w:hAnsi="Times New Roman"/>
          <w:b w:val="false"/>
          <w:i w:val="false"/>
          <w:color w:val="000000"/>
          <w:sz w:val="22"/>
        </w:rPr>
        <w:t> </w:t>
      </w:r>
      <w:r>
        <w:rPr>
          <w:rFonts w:ascii="Times New Roman" w:hAnsi="Times New Roman"/>
          <w:b w:val="false"/>
          <w:i w:val="false"/>
          <w:color w:val="000000"/>
          <w:sz w:val="22"/>
        </w:rPr>
        <w:t>In addition, every real estate brokerage that offers representation to both buyers and sellers, and tenants and landlords, also specifically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appointed agent’s policy and brokerage procedures intended to prevent any mishandling of information through both formal and informal sharing of information within the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arrangement of brokerage office space and the personal relationships of affiliated licensees who are representing clients with adverse interests.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is not obligated to offer or engage in more than one type of brokerage relationship as enumerated in rules </w:t>
      </w:r>
      <w:hyperlink r:id="rId5">
        <w:r>
          <w:rPr>
            <w:rStyle w:val="Hyperlink"/>
            <w:rFonts w:ascii="Times New Roman" w:hAnsi="Times New Roman"/>
            <w:b w:val="false"/>
            <w:i w:val="false"/>
            <w:color w:val="000000"/>
            <w:sz w:val="22"/>
          </w:rPr>
          <w:t>481—2012.3</w:t>
        </w:r>
      </w:hyperlink>
      <w:r>
        <w:rPr>
          <w:rFonts w:ascii="Times New Roman" w:hAnsi="Times New Roman"/>
          <w:b w:val="false"/>
          <w:i w:val="false"/>
          <w:color w:val="000000"/>
          <w:sz w:val="22"/>
        </w:rPr>
        <w:t xml:space="preserve">(543B) through </w:t>
      </w:r>
      <w:hyperlink r:id="rId6">
        <w:r>
          <w:rPr>
            <w:rStyle w:val="Hyperlink"/>
            <w:rFonts w:ascii="Times New Roman" w:hAnsi="Times New Roman"/>
            <w:b w:val="false"/>
            <w:i w:val="false"/>
            <w:color w:val="000000"/>
            <w:sz w:val="22"/>
          </w:rPr>
          <w:t>481—2012.5</w:t>
        </w:r>
      </w:hyperlink>
      <w:r>
        <w:rPr>
          <w:rFonts w:ascii="Times New Roman" w:hAnsi="Times New Roman"/>
          <w:b w:val="false"/>
          <w:i w:val="false"/>
          <w:color w:val="000000"/>
          <w:sz w:val="22"/>
        </w:rPr>
        <w:t>(543B).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w:t>
      </w:r>
      <w:r>
        <w:rPr>
          <w:rFonts w:ascii="Times New Roman" w:hAnsi="Times New Roman"/>
          <w:b w:val="false"/>
          <w:i w:val="false"/>
          <w:color w:val="000000"/>
          <w:sz w:val="22"/>
        </w:rPr>
        <w:t> </w:t>
      </w:r>
      <w:r>
        <w:rPr>
          <w:rFonts w:ascii="Times New Roman" w:hAnsi="Times New Roman"/>
          <w:b w:val="false"/>
          <w:i w:val="false"/>
          <w:color w:val="000000"/>
          <w:sz w:val="22"/>
        </w:rPr>
        <w:t>A licensee cannot represent any party or parties to a real estate transaction or otherwise act as a real estate broker or salesperson unless that licensee makes disclosure to all obligated parties to the transaction identifying which party or parties, if any, that licensee represents in the transaction. Disclosure pursuant to this rule is made by the licensee at the time the licensee provides specific assistance to the client or nonrepresented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2012.2(2)</w:t>
      </w:r>
      <w:r>
        <w:rPr>
          <w:rFonts w:ascii="Times New Roman" w:hAnsi="Times New Roman"/>
          <w:b w:val="false"/>
          <w:i w:val="false"/>
          <w:color w:val="000000"/>
          <w:sz w:val="22"/>
        </w:rPr>
        <w:t> </w:t>
      </w:r>
      <w:r>
        <w:rPr>
          <w:rFonts w:ascii="Times New Roman" w:hAnsi="Times New Roman"/>
          <w:b w:val="false"/>
          <w:i w:val="false"/>
          <w:color w:val="000000"/>
          <w:sz w:val="22"/>
        </w:rPr>
        <w:t xml:space="preserve">Verbal disclosure needed. The disclosure obligated by subrule </w:t>
      </w:r>
      <w:hyperlink r:id="rId7">
        <w:r>
          <w:rPr>
            <w:rStyle w:val="Hyperlink"/>
            <w:rFonts w:ascii="Times New Roman" w:hAnsi="Times New Roman"/>
            <w:b w:val="false"/>
            <w:i w:val="false"/>
            <w:color w:val="000000"/>
            <w:sz w:val="22"/>
          </w:rPr>
          <w:t>2012.2(1)</w:t>
        </w:r>
      </w:hyperlink>
      <w:r>
        <w:rPr>
          <w:rFonts w:ascii="Times New Roman" w:hAnsi="Times New Roman"/>
          <w:b w:val="false"/>
          <w:i w:val="false"/>
          <w:color w:val="000000"/>
          <w:sz w:val="22"/>
        </w:rPr>
        <w:t xml:space="preserve"> is made verbally by the licensee prior to the licensee’s providing specific assistance to the client or nonrepresented customer. A change in the licensee’s representation that makes the initial verbal disclosure incomplete, misleading, or inaccurate obligates that a new verbal disclosure be made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disclosure needed. The written disclosure obligated by subrule </w:t>
      </w:r>
      <w:hyperlink r:id="rId8">
        <w:r>
          <w:rPr>
            <w:rStyle w:val="Hyperlink"/>
            <w:rFonts w:ascii="Times New Roman" w:hAnsi="Times New Roman"/>
            <w:b w:val="false"/>
            <w:i w:val="false"/>
            <w:color w:val="000000"/>
            <w:sz w:val="22"/>
          </w:rPr>
          <w:t>2012.2(1)</w:t>
        </w:r>
      </w:hyperlink>
      <w:r>
        <w:rPr>
          <w:rFonts w:ascii="Times New Roman" w:hAnsi="Times New Roman"/>
          <w:b w:val="false"/>
          <w:i w:val="false"/>
          <w:color w:val="000000"/>
          <w:sz w:val="22"/>
        </w:rPr>
        <w:t xml:space="preserve"> is made by the licensee to all parties to a real estate transaction identifying which party the licensee represents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needed to be made to the buyer or tenant prior to any offer, lease, or rental agreement being made or signed by the buyer or tenant, and prior to any offer, lease, or rental agreement being signed or accepted by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acknowledged by separate signatures. A change in the licensee’s representation that makes the initial written disclosure incomplete, misleading, or inaccurate obligates that a new verbal disclosure be made that is followed by a new written disclosure signed by all parties to the transaction as soon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representing a buyer or tenant informs the listing broker, the listing agent, or the seller or landlord of the agency relationship in accordance with Iowa Code section </w:t>
      </w:r>
      <w:hyperlink r:id="rId9">
        <w:r>
          <w:rPr>
            <w:rStyle w:val="Hyperlink"/>
            <w:rFonts w:ascii="Times New Roman" w:hAnsi="Times New Roman"/>
            <w:b w:val="false"/>
            <w:i w:val="false"/>
            <w:color w:val="000000"/>
            <w:sz w:val="22"/>
          </w:rPr>
          <w:t>543B.57(5)</w:t>
        </w:r>
      </w:hyperlink>
      <w:r>
        <w:rPr>
          <w:rFonts w:ascii="Times New Roman" w:hAnsi="Times New Roman"/>
          <w:b w:val="false"/>
          <w:i w:val="false"/>
          <w:color w:val="000000"/>
          <w:sz w:val="22"/>
        </w:rPr>
        <w:t>. If the property is not listed, the obligated disclosure is made to the unrepresented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2012.2(5)</w:t>
      </w:r>
      <w:r>
        <w:rPr>
          <w:rFonts w:ascii="Times New Roman" w:hAnsi="Times New Roman"/>
          <w:b w:val="false"/>
          <w:i w:val="false"/>
          <w:color w:val="000000"/>
          <w:sz w:val="22"/>
        </w:rPr>
        <w:t> </w:t>
      </w:r>
      <w:r>
        <w:rPr>
          <w:rFonts w:ascii="Times New Roman" w:hAnsi="Times New Roman"/>
          <w:b w:val="false"/>
          <w:i w:val="false"/>
          <w:color w:val="000000"/>
          <w:sz w:val="22"/>
        </w:rPr>
        <w:t>The obligation of either the seller or landlord or buyer or tenant to pay compensation to a broker does not establish an agency relationship or affect any agency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2012.2(6)</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bars a party from entering into a written brokerage agreement with a broker that contains duties, obligations, and responsibilities that are in addition to those specified in Iowa real estate license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2012.2(7)</w:t>
      </w:r>
      <w:r>
        <w:rPr>
          <w:rFonts w:ascii="Times New Roman" w:hAnsi="Times New Roman"/>
          <w:b w:val="false"/>
          <w:i w:val="false"/>
          <w:color w:val="000000"/>
          <w:sz w:val="22"/>
        </w:rPr>
        <w:t> </w:t>
      </w:r>
      <w:r>
        <w:rPr>
          <w:rFonts w:ascii="Times New Roman" w:hAnsi="Times New Roman"/>
          <w:b w:val="false"/>
          <w:i w:val="false"/>
          <w:color w:val="000000"/>
          <w:sz w:val="22"/>
        </w:rPr>
        <w:t>A licensee cannot be the agent for both the buyer or tenant without following Iowa Code section 543B.58(1).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2012.2(8)</w:t>
      </w:r>
      <w:r>
        <w:rPr>
          <w:rFonts w:ascii="Times New Roman" w:hAnsi="Times New Roman"/>
          <w:b w:val="false"/>
          <w:i w:val="false"/>
          <w:color w:val="000000"/>
          <w:sz w:val="22"/>
        </w:rPr>
        <w:t> </w:t>
      </w:r>
      <w:r>
        <w:rPr>
          <w:rFonts w:ascii="Times New Roman" w:hAnsi="Times New Roman"/>
          <w:b w:val="false"/>
          <w:i w:val="false"/>
          <w:color w:val="000000"/>
          <w:sz w:val="22"/>
        </w:rPr>
        <w:t>A licensee may work with and establish different types of agency relationships with the same client, in separate transactions. Examples of different agency relationships with the same client in separate transactions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example includes a licensee acting as a listing or seller’s agent selling a property in one transaction and also working with and representing this same person in another transaction as a buyer’s agent in the purchase of a different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in either of the separate transactions, or both, with the written permission of the parties to the specific transaction and if the broker or brokerage has a written company policy that includes disclosed dual agency for in-house transactions or same agent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Regardless of the type of agency relationship provided in each transaction, the licensee complies with the criteria of Iowa Code chapter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this rule in establishing the relationships for each separate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2012.2(9)</w:t>
      </w:r>
      <w:r>
        <w:rPr>
          <w:rFonts w:ascii="Times New Roman" w:hAnsi="Times New Roman"/>
          <w:b w:val="false"/>
          <w:i w:val="false"/>
          <w:color w:val="000000"/>
          <w:sz w:val="22"/>
        </w:rPr>
        <w:t> </w:t>
      </w:r>
      <w:r>
        <w:rPr>
          <w:rFonts w:ascii="Times New Roman" w:hAnsi="Times New Roman"/>
          <w:b w:val="false"/>
          <w:i w:val="false"/>
          <w:color w:val="000000"/>
          <w:sz w:val="22"/>
        </w:rPr>
        <w:t>An agency relationship disclosure is not needed when the licensee is acting solely as a principal and not as an agent for another or when a written communication from the licensee is a solicitation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2012.2(10)</w:t>
      </w:r>
      <w:r>
        <w:rPr>
          <w:rFonts w:ascii="Times New Roman" w:hAnsi="Times New Roman"/>
          <w:b w:val="false"/>
          <w:i w:val="false"/>
          <w:color w:val="000000"/>
          <w:sz w:val="22"/>
        </w:rPr>
        <w:t> </w:t>
      </w:r>
      <w:r>
        <w:rPr>
          <w:rFonts w:ascii="Times New Roman" w:hAnsi="Times New Roman"/>
          <w:b w:val="false"/>
          <w:i w:val="false"/>
          <w:color w:val="000000"/>
          <w:sz w:val="22"/>
        </w:rPr>
        <w:t>If the seller, landlord, buyer, or tenant refuses to sign the agency disclosure document, or refuses to sign acknowledging receipt of the disclosure, the licensee notes that fact and includes the date, place, time, and the names of others in attendance on a copy of the agency disclosure document and obtains other documentation establishing delivery of the disclosure and maintains the written documentation, including but not limited to copies of facsimile, restricted delivery certified mail, and other communications,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2012.2(11)</w:t>
      </w:r>
      <w:r>
        <w:rPr>
          <w:rFonts w:ascii="Times New Roman" w:hAnsi="Times New Roman"/>
          <w:b w:val="false"/>
          <w:i w:val="false"/>
          <w:color w:val="000000"/>
          <w:sz w:val="22"/>
        </w:rPr>
        <w:t> </w:t>
      </w:r>
      <w:r>
        <w:rPr>
          <w:rFonts w:ascii="Times New Roman" w:hAnsi="Times New Roman"/>
          <w:b w:val="false"/>
          <w:i w:val="false"/>
          <w:color w:val="000000"/>
          <w:sz w:val="22"/>
        </w:rPr>
        <w:t>A licensee who is offering real estate brokerage services as an auctioneer makes the written disclosure to the buyer and obtains the acknowledgment of receipt obligated by law and rules, prior to the buyer’s entering into a written purchase agreement for the property. For the purposes of this rule, the identification of the successful bidder constitutes the first meaningful contact with a buyer when specific assistance is provided. After the first meaningful contact, the first practical opportunity to make the necessary disclosures to the buyer depends upon the circumstances. While it is not necessary, it is recommended that licensees disclose in all advertisements and flyers that they are licensed agents representing the seller and, prior to crying the auction, announce that they are licensed real estate agents representing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under this rule applies only to the day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provides brokerage services prior to the auction, the disclosure is made either orally or in writing prior to or at the time of specific assistance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retains a copy of the disclosure form signed by the prospective buyer, seller, landlord or tenant, or the documentation and copies as obligated in subrule </w:t>
      </w:r>
      <w:hyperlink r:id="rId11">
        <w:r>
          <w:rPr>
            <w:rStyle w:val="Hyperlink"/>
            <w:rFonts w:ascii="Times New Roman" w:hAnsi="Times New Roman"/>
            <w:b w:val="false"/>
            <w:i w:val="false"/>
            <w:color w:val="000000"/>
            <w:sz w:val="22"/>
          </w:rPr>
          <w:t>2012.2(10)</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offer is accepted, the signed or noted copy is retained by the broker in the closed transaction file for a period of five years from the date of the signature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offer is not accepted, a signed and noted copy is retained with the rejected offer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comply with this rule is prima facie evidence of a violation of Iowa Code section </w:t>
      </w:r>
      <w:hyperlink r:id="rId12">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act consistent with disclosure representations made pursuant to this rule is prima facie evidence of a violation of Iowa Code section </w:t>
      </w:r>
      <w:hyperlink r:id="rId13">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2012.2(15)</w:t>
      </w:r>
      <w:r>
        <w:rPr>
          <w:rFonts w:ascii="Times New Roman" w:hAnsi="Times New Roman"/>
          <w:b w:val="false"/>
          <w:i w:val="false"/>
          <w:color w:val="000000"/>
          <w:sz w:val="22"/>
        </w:rPr>
        <w:t> </w:t>
      </w:r>
      <w:r>
        <w:rPr>
          <w:rFonts w:ascii="Times New Roman" w:hAnsi="Times New Roman"/>
          <w:b w:val="false"/>
          <w:i w:val="false"/>
          <w:color w:val="000000"/>
          <w:sz w:val="22"/>
        </w:rPr>
        <w:t>Nothing in this rule affects the validity of title to real property transferred based solely on the reason that any licensee failed to conform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sole-proprietor single broker or firm is not obligated to offer or engage in more than one type of brokerage relationship as enumerated in rules </w:t>
      </w:r>
      <w:hyperlink r:id="rId14">
        <w:r>
          <w:rPr>
            <w:rStyle w:val="Hyperlink"/>
            <w:rFonts w:ascii="Times New Roman" w:hAnsi="Times New Roman"/>
            <w:b w:val="false"/>
            <w:i w:val="false"/>
            <w:color w:val="000000"/>
            <w:sz w:val="22"/>
          </w:rPr>
          <w:t>481—2012.3</w:t>
        </w:r>
      </w:hyperlink>
      <w:r>
        <w:rPr>
          <w:rFonts w:ascii="Times New Roman" w:hAnsi="Times New Roman"/>
          <w:b w:val="false"/>
          <w:i w:val="false"/>
          <w:color w:val="000000"/>
          <w:sz w:val="22"/>
        </w:rPr>
        <w:t xml:space="preserve">(543B) through </w:t>
      </w:r>
      <w:hyperlink r:id="rId15">
        <w:r>
          <w:rPr>
            <w:rStyle w:val="Hyperlink"/>
            <w:rFonts w:ascii="Times New Roman" w:hAnsi="Times New Roman"/>
            <w:b w:val="false"/>
            <w:i w:val="false"/>
            <w:color w:val="000000"/>
            <w:sz w:val="22"/>
          </w:rPr>
          <w:t>481—2012.5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2012.2(17)</w:t>
      </w:r>
      <w:r>
        <w:rPr>
          <w:rFonts w:ascii="Times New Roman" w:hAnsi="Times New Roman"/>
          <w:b w:val="false"/>
          <w:i w:val="false"/>
          <w:color w:val="000000"/>
          <w:sz w:val="22"/>
        </w:rPr>
        <w:t> </w:t>
      </w:r>
      <w:r>
        <w:rPr>
          <w:rFonts w:ascii="Times New Roman" w:hAnsi="Times New Roman"/>
          <w:b w:val="false"/>
          <w:i w:val="false"/>
          <w:color w:val="000000"/>
          <w:sz w:val="22"/>
        </w:rPr>
        <w:t>The licensee offering brokerage services to a person as a buyer’s or tenant’s agent, or who is providing brokerage services to a person as a seller’s or landlord’s agent, discloses in writing to that person the type or types of brokerage relationships the broker and affiliated licensees are offering to that person before entering into a brokerage agreement with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481—2012.3</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seller or landlord.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2012.3(1)</w:t>
      </w:r>
      <w:r>
        <w:rPr>
          <w:rFonts w:ascii="Times New Roman" w:hAnsi="Times New Roman"/>
          <w:b w:val="false"/>
          <w:i w:val="false"/>
          <w:color w:val="000000"/>
          <w:sz w:val="22"/>
        </w:rPr>
        <w:t> </w:t>
      </w:r>
      <w:r>
        <w:rPr>
          <w:rFonts w:ascii="Times New Roman" w:hAnsi="Times New Roman"/>
          <w:b w:val="false"/>
          <w:i/>
          <w:color w:val="000000"/>
          <w:sz w:val="22"/>
        </w:rPr>
        <w:t xml:space="preserve">Duty to seller or landlord. </w:t>
      </w:r>
      <w:r>
        <w:rPr>
          <w:rFonts w:ascii="Times New Roman" w:hAnsi="Times New Roman"/>
          <w:b w:val="false"/>
          <w:i w:val="false"/>
          <w:color w:val="000000"/>
          <w:sz w:val="22"/>
        </w:rPr>
        <w:t>A licensee representing a seller or landlord as an exclusive seller’s agent or an exclusive landlord’s agent have the following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the written agreement made with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seller or landlord with the utmost care, integrity, honesty, and loyalty,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price and terms which are acceptable to the seller or landlord, except that the licensee is not obligated to seek additional offers to purchase the property while the property is subject to a contract for sale or to seek additional offers to lease the property while the property is subject to a lease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seller or landlord in a timely manner regardless of whether the property is subject to a contract for sale or lease or a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seller or landlord all material adverse facts pursuant to Iowa Code section </w:t>
      </w:r>
      <w:hyperlink r:id="rId16">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client to obtain expert advice as to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seller’s or landlord’s confidential information as defined in rule </w:t>
      </w:r>
      <w:hyperlink r:id="rId17">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seller or the landlord that, if disclosed to the other party, could place the seller or landlord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client’s selling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seller’s or landlord’s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or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2012.3(2)</w:t>
      </w:r>
      <w:r>
        <w:rPr>
          <w:rFonts w:ascii="Times New Roman" w:hAnsi="Times New Roman"/>
          <w:b w:val="false"/>
          <w:i w:val="false"/>
          <w:color w:val="000000"/>
          <w:sz w:val="22"/>
        </w:rPr>
        <w:t> </w:t>
      </w:r>
      <w:r>
        <w:rPr>
          <w:rFonts w:ascii="Times New Roman" w:hAnsi="Times New Roman"/>
          <w:b w:val="false"/>
          <w:i/>
          <w:color w:val="000000"/>
          <w:sz w:val="22"/>
        </w:rPr>
        <w:t xml:space="preserve">Duty to a buyer or tenant. </w:t>
      </w:r>
      <w:r>
        <w:rPr>
          <w:rFonts w:ascii="Times New Roman" w:hAnsi="Times New Roman"/>
          <w:b w:val="false"/>
          <w:i w:val="false"/>
          <w:color w:val="000000"/>
          <w:sz w:val="22"/>
        </w:rPr>
        <w:t xml:space="preserve">A licensee acting as an exclusive seller’s or exclusive landlord’s agent discloses to any customer all material adverse facts actually known by the licensee pursuant to Iowa Code section </w:t>
      </w:r>
      <w:hyperlink r:id="rId19">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inspection of the property for the benefit of the buyer or tenant and owes no duty to independently verify the accuracy or completeness of any statement made by the seller or landlord or any independent inspector,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the obligation of a buyer or tenant from the responsibility of protecting the buyer’s or the tenant’s own interest by means of, but not limited to, inspecting the physical condition of the property and verifying important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seller or landlord in a real estate transaction may provide assistance to an unrepresented buyer or tenant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properties. </w:t>
      </w:r>
      <w:r>
        <w:rPr>
          <w:rFonts w:ascii="Times New Roman" w:hAnsi="Times New Roman"/>
          <w:b w:val="false"/>
          <w:i w:val="false"/>
          <w:color w:val="000000"/>
          <w:sz w:val="22"/>
        </w:rPr>
        <w:t>The licensee may show alternative properties not owned by the seller or landlord to buyers or tenants and may list competing properties for sale or lease without breaching any duty or obligation to the seller or landlord.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481—2012.4</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2012.4(1)</w:t>
      </w:r>
      <w:r>
        <w:rPr>
          <w:rFonts w:ascii="Times New Roman" w:hAnsi="Times New Roman"/>
          <w:b w:val="false"/>
          <w:i w:val="false"/>
          <w:color w:val="000000"/>
          <w:sz w:val="22"/>
        </w:rPr>
        <w:t> </w:t>
      </w:r>
      <w:r>
        <w:rPr>
          <w:rFonts w:ascii="Times New Roman" w:hAnsi="Times New Roman"/>
          <w:b w:val="false"/>
          <w:i/>
          <w:color w:val="000000"/>
          <w:sz w:val="22"/>
        </w:rPr>
        <w:t xml:space="preserve">Duty to buyer or tenant. </w:t>
      </w:r>
      <w:r>
        <w:rPr>
          <w:rFonts w:ascii="Times New Roman" w:hAnsi="Times New Roman"/>
          <w:b w:val="false"/>
          <w:i w:val="false"/>
          <w:color w:val="000000"/>
          <w:sz w:val="22"/>
        </w:rPr>
        <w:t xml:space="preserve">A licensee representing a buyer or tenant as an exclusive buyer’s or an exclusive tenant’s agent have the same duties and obligations as mentioned in subrule </w:t>
      </w:r>
      <w:hyperlink r:id="rId20">
        <w:r>
          <w:rPr>
            <w:rStyle w:val="Hyperlink"/>
            <w:rFonts w:ascii="Times New Roman" w:hAnsi="Times New Roman"/>
            <w:b w:val="false"/>
            <w:i w:val="false"/>
            <w:color w:val="000000"/>
            <w:sz w:val="22"/>
          </w:rPr>
          <w:t>2012.3(1)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any written agreement made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client with the utmost good faith, loyalty, and fidelity,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property at a price and terms which are acceptable to the buyer or tenant, except that the licensee is not obligated to seek other properties while the client is a party to a contract to purchase property, or to a lease or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client in a timely manner regardless of whether the client is already a party to a contract to purchase property or is already a party to a contract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buyer or tenant material adverse facts concerning the property and the transaction that are actually known by the licensee, pursuant to Iowa Code section </w:t>
      </w:r>
      <w:hyperlink r:id="rId21">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buyer or tenant to obtain expert advice on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buyer’s or tenant’s confidential information as defined in rule </w:t>
      </w:r>
      <w:hyperlink r:id="rId22">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buyer or the tenant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party’s buying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buyer’s or tenant’s financial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and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2012.4(2)</w:t>
      </w:r>
      <w:r>
        <w:rPr>
          <w:rFonts w:ascii="Times New Roman" w:hAnsi="Times New Roman"/>
          <w:b w:val="false"/>
          <w:i w:val="false"/>
          <w:color w:val="000000"/>
          <w:sz w:val="22"/>
        </w:rPr>
        <w:t> </w:t>
      </w:r>
      <w:r>
        <w:rPr>
          <w:rFonts w:ascii="Times New Roman" w:hAnsi="Times New Roman"/>
          <w:b w:val="false"/>
          <w:i/>
          <w:color w:val="000000"/>
          <w:sz w:val="22"/>
        </w:rPr>
        <w:t xml:space="preserve">Duty to a seller or landlord. </w:t>
      </w:r>
      <w:r>
        <w:rPr>
          <w:rFonts w:ascii="Times New Roman" w:hAnsi="Times New Roman"/>
          <w:b w:val="false"/>
          <w:i w:val="false"/>
          <w:color w:val="000000"/>
          <w:sz w:val="22"/>
        </w:rPr>
        <w:t xml:space="preserve">A licensee acting as an exclusive buyer’s or an exclusive tenant’s agent discloses to any customer all material adverse facts actually known by the licensee, pursuant to Iowa Code section </w:t>
      </w:r>
      <w:hyperlink r:id="rId2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investigation of the buyer’s or tenant’s financial condition for the benefit of the seller or landlord and owes no duty to verify the accuracy or completeness of any statement made by the buyer or tenant or any independent source,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obligation of a seller or landlord from the responsibility of protecting the seller’s or landlord’s own interest by means of, but not limited to, verifying information concerning or provided by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buyer or tenant in a real estate transaction may provide assistance to an unrepresented seller or landlord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2012.4(3)</w:t>
      </w:r>
      <w:r>
        <w:rPr>
          <w:rFonts w:ascii="Times New Roman" w:hAnsi="Times New Roman"/>
          <w:b w:val="false"/>
          <w:i w:val="false"/>
          <w:color w:val="000000"/>
          <w:sz w:val="22"/>
        </w:rPr>
        <w:t> </w:t>
      </w:r>
      <w:r>
        <w:rPr>
          <w:rFonts w:ascii="Times New Roman" w:hAnsi="Times New Roman"/>
          <w:b w:val="false"/>
          <w:i/>
          <w:color w:val="000000"/>
          <w:sz w:val="22"/>
        </w:rPr>
        <w:t xml:space="preserve">Competing buyers or tenants. </w:t>
      </w:r>
      <w:r>
        <w:rPr>
          <w:rFonts w:ascii="Times New Roman" w:hAnsi="Times New Roman"/>
          <w:b w:val="false"/>
          <w:i w:val="false"/>
          <w:color w:val="000000"/>
          <w:sz w:val="22"/>
        </w:rPr>
        <w:t>The licensee may show properties in which the buyer or tenant is interested to other buyers or tenants, may assist other competing buyers or tenants, and may enter into brokerage agreements with other competing buyers or tenants without breaching any duty or obligation to the buyer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481—2012.5</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Disclosed dual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brokerage which has a company policy that permits disclosed dual agency for in-house transactions provides a disclosed dual agency consent agreement to the client or prospective client prior to engaging in any activities of a dual agent. If any seller, landlord, buyer, or tenant rejects dual agency, or refuses to sign consent to dual agency, the licensee cannot act as a dual agent. The dual agency consent agreement complies with Iowa law and commission rules including, but not limited to, the criteria to inform the prospective clients that they are not obligated to consent to dual agency representation as provided by subrule </w:t>
      </w:r>
      <w:hyperlink r:id="rId25">
        <w:r>
          <w:rPr>
            <w:rStyle w:val="Hyperlink"/>
            <w:rFonts w:ascii="Times New Roman" w:hAnsi="Times New Roman"/>
            <w:b w:val="false"/>
            <w:i w:val="false"/>
            <w:color w:val="000000"/>
            <w:sz w:val="22"/>
          </w:rPr>
          <w:t>2012.5(2)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only with the informed consent of all parties to the transaction. The informed consent is evidenced by a written agreement pursuant to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dual agent is an agent for both the seller and buyer or the landlord and tenant and has the duties and obligations needed for a single agent representing a seller or landlord and for a single agent representing a buyer or tenant, unless otherwise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discloses to the client all material adverse facts concerning the property that are actually known by the licensee, pursuant to Iowa Code section </w:t>
      </w:r>
      <w:hyperlink r:id="rId26">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cannot disclose to one client confidential information about the other client and preserves a seller’s or a landlord’s, or a buyer’s or a tenant’s, confidential information as defined in rule </w:t>
      </w:r>
      <w:hyperlink r:id="rId27">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 xml:space="preserve">(543B), unless disclosure is mandated by law, or failure to disclose such information would constitute fraud or dishonest dealing, or disclosure is authorized by express instruction. A dual agent does not terminate the dual agency relationship by making the disclosures mandatory or permitted by the dual agency consent agreement. Confidential information includes the same information as </w:t>
      </w:r>
      <w:hyperlink r:id="rId28">
        <w:r>
          <w:rPr>
            <w:rStyle w:val="Hyperlink"/>
            <w:rFonts w:ascii="Times New Roman" w:hAnsi="Times New Roman"/>
            <w:b w:val="false"/>
            <w:i w:val="false"/>
            <w:color w:val="000000"/>
            <w:sz w:val="22"/>
          </w:rPr>
          <w:t>481—subrule 2012.3(1)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2012.4(1)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any transaction, a licensee may withdraw from representing a client who has not consented to a disclosed dual agency at any time prior to the existence of the dual agency, which is prior to discussing any seller’s or landlord’s property with a potential buyer or tenant and prior to discussing any potential buyer or tenant with a seller or landlord, when both the seller or landlord and the buyer or tenant are represented by and are clients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withdrawals are made in writing and acknowledged by the separate signatures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withdrawal does not prejudice the ability of the licensee to continue to represent the other client in the transaction or limit the licensee from representing the client in other transactions not involving a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2012.5(2)</w:t>
      </w:r>
      <w:r>
        <w:rPr>
          <w:rFonts w:ascii="Times New Roman" w:hAnsi="Times New Roman"/>
          <w:b w:val="false"/>
          <w:i w:val="false"/>
          <w:color w:val="000000"/>
          <w:sz w:val="22"/>
        </w:rPr>
        <w:t> </w:t>
      </w:r>
      <w:r>
        <w:rPr>
          <w:rFonts w:ascii="Times New Roman" w:hAnsi="Times New Roman"/>
          <w:b w:val="false"/>
          <w:i w:val="false"/>
          <w:color w:val="000000"/>
          <w:sz w:val="22"/>
        </w:rPr>
        <w:t>A dual agency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Fairly and accurately describes the type of representation the licensee will provide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0">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1">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representing more than one party to a transaction may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they are not obligated to consent to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Provides additional information that the licensee determines is necessary to clarify the licensee’s relationship with each client, including any changes from prior types of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Describes the confidential information a dual agent will not disclose to one client about the other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statement that the clients understand the licensee’s duties and consent to the licensee’s providing brokerage services to more than one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2012.5(3)</w:t>
      </w:r>
      <w:r>
        <w:rPr>
          <w:rFonts w:ascii="Times New Roman" w:hAnsi="Times New Roman"/>
          <w:b w:val="false"/>
          <w:i w:val="false"/>
          <w:color w:val="000000"/>
          <w:sz w:val="22"/>
        </w:rPr>
        <w:t> </w:t>
      </w:r>
      <w:r>
        <w:rPr>
          <w:rFonts w:ascii="Times New Roman" w:hAnsi="Times New Roman"/>
          <w:b w:val="false"/>
          <w:i w:val="false"/>
          <w:color w:val="000000"/>
          <w:sz w:val="22"/>
        </w:rPr>
        <w:t>No particular disclosure language is needed. The commission recommends use of the following sample language to satisfy the mandatory disclosure regarding conflict of interest:</w:t>
      </w:r>
    </w:p>
    <w:p>
      <w:pPr>
        <w:spacing w:before="0" w:after="0"/>
        <w:ind w:left="356"/>
        <w:jc w:val="both"/>
      </w:pPr>
      <w:r>
        <w:rPr>
          <w:rFonts w:ascii="Times New Roman" w:hAnsi="Times New Roman"/>
          <w:b w:val="false"/>
          <w:i w:val="false"/>
          <w:color w:val="000000"/>
          <w:sz w:val="22"/>
        </w:rPr>
        <w:t>Representing more than one party to a transaction can create a conflict of interest since both clients may rely upon the broker’s advice and the clients’ respective interests may be adverse to each other. Broker will endeavor to be impartial between seller and buyer and will not represent the interest of either the seller or buyer to the exclusion or detriment of the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2012.5(4)</w:t>
      </w:r>
      <w:r>
        <w:rPr>
          <w:rFonts w:ascii="Times New Roman" w:hAnsi="Times New Roman"/>
          <w:b w:val="false"/>
          <w:i w:val="false"/>
          <w:color w:val="000000"/>
          <w:sz w:val="22"/>
        </w:rPr>
        <w:t> </w:t>
      </w:r>
      <w:r>
        <w:rPr>
          <w:rFonts w:ascii="Times New Roman" w:hAnsi="Times New Roman"/>
          <w:b w:val="false"/>
          <w:i w:val="false"/>
          <w:color w:val="000000"/>
          <w:sz w:val="22"/>
        </w:rPr>
        <w:t>Potential dual agency agreement. A brokerage which has a company policy that permits disclosed dual agency for in-house transactions and that elects to use a potential dual agency agreement provides the agreement to the client or prospective client prior to engaging in any activities of a dual agent. Such consent agreement complies with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seller or landlord prior to entering into a listing agreement or a contract for seller or landlord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buyer or tenant prior to entering into a buyer or tenant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buyer or tenant prior to the buyer’s or tenant’s signing an offer to purchase or a rental or lease agreement. The buyer or tenant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seller or landlord prior to the seller’s or landlord’s signing or accepting an offer to purchase or a rental or lease agreement. The seller or landlord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the obligated subsequent dual agency consent disclosure is property-specific and complies with Iowa law and commission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481—2012.6</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agents within a brokerage.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authorizes a designated broker to elect to appoint in writing one or more different licensees affiliated with the broker to act as agent to represent exclusively different clients in the same transaction, to the exclusion of all other affiliated licensees within the real estate brokerage. A licensee cannot disclose, except to the licensee’s designated broker, information made confidential by request or instructions of the client the licensee is representing or otherwise confidential by statute or rule, except information allowed by this chapter or mandated to be disclosed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2012.6(1)</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want to include in the written company policy some or all of the appointed agents within the brokerage and may want to include the procedure by which the appointment of the agent or agents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listing agreement with the seller or leasing agreement with the landlord will represent the seller or landlord as that client’s agent. In that scenario, other licensees affiliated with the designated broker may represent buyers or tenants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2012.6(3)</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buyer representation agreement with the buyer or leasing agreement with the tenant will represent the buyer or tenant as that client’s agent. In that scenario, other licensees affiliated with the designated broker may represent sellers or landlords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2012.6(4)</w:t>
      </w:r>
      <w:r>
        <w:rPr>
          <w:rFonts w:ascii="Times New Roman" w:hAnsi="Times New Roman"/>
          <w:b w:val="false"/>
          <w:i w:val="false"/>
          <w:color w:val="000000"/>
          <w:sz w:val="22"/>
        </w:rPr>
        <w:t> </w:t>
      </w:r>
      <w:r>
        <w:rPr>
          <w:rFonts w:ascii="Times New Roman" w:hAnsi="Times New Roman"/>
          <w:b w:val="false"/>
          <w:i w:val="false"/>
          <w:color w:val="000000"/>
          <w:sz w:val="22"/>
        </w:rPr>
        <w:t>If any seller, landlord, buyer, or tenant who is a client of the broker refuses to sign and consent to the appointed agent within the brokerage appointed by that same broker for the other party to the transaction, then the broker and licensees affiliated with the broker cannot act as an appointed agent for that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481—2012.7</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 procedures and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entering into a brokerage agreement, a real estate brokerage notifies a client in writing of the real estate brokerage’s appointed agent policy and those affiliated licensees in accordance with Iowa Code section </w:t>
      </w:r>
      <w:hyperlink r:id="rId33">
        <w:r>
          <w:rPr>
            <w:rStyle w:val="Hyperlink"/>
            <w:rFonts w:ascii="Times New Roman" w:hAnsi="Times New Roman"/>
            <w:b w:val="false"/>
            <w:i w:val="false"/>
            <w:color w:val="000000"/>
            <w:sz w:val="22"/>
          </w:rPr>
          <w:t>543B.59(1)</w:t>
        </w:r>
      </w:hyperlink>
      <w:r>
        <w:rPr>
          <w:rFonts w:ascii="Times New Roman" w:hAnsi="Times New Roman"/>
          <w:b w:val="false"/>
          <w:i w:val="false"/>
          <w:color w:val="000000"/>
          <w:sz w:val="22"/>
        </w:rPr>
        <w:t>. The appointed agent disclosure includes,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appointed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appointed agent will be representing the client as the client’s agent and will owe the client duties as set forth in Iowa Code section </w:t>
      </w:r>
      <w:hyperlink r:id="rId3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 xml:space="preserve">(1) and </w:t>
      </w:r>
      <w:hyperlink r:id="rId35">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brokerage may be representing both the seller and the buyer in connection with the sale or purchase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other affiliated licensees may be appointed during the term of the brokerage agreement should the appointed agent not be able to fulfill the terms of the brokerage agreement or as by agreement between the designated broker and the client. An appointment of another affiliated licensee or an additional affiliated licensee does not relieve the first appointed agent of any of the duties owed to the client. At any time of the appointment of the new or additional agents, the designated broker complies with the provisions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for the client to consent or not consent in writing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appointed agent within a brokerage relationship. Any broker may elect to offer the appointed agent relationship. The broker cannot implement the use of the relationship until such time as the broker has fully complied with all Iowa laws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cannot, without the written consent of the clients, appoint an affiliated licensee to act as an appointed agent in any transaction involving a written exclusive single agent or dual agent brokerage agreement that was in effect prior to the broker’s implementing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client of an appointed agent wants to consider a property on which the broker has a prior existing exclusive single agent or dual agent brokerage agreement, the broker cannot allow the use of the appointed agent without first obtaining the written consent of that particular seller or landlord to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written consent of the client to allow the appointed agency relationship is not given or cannot be obtained, the broker refers the client of the appointed agent to another broker for representation at least for the purpose of considering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2012.7(3)</w:t>
      </w:r>
      <w:r>
        <w:rPr>
          <w:rFonts w:ascii="Times New Roman" w:hAnsi="Times New Roman"/>
          <w:b w:val="false"/>
          <w:i w:val="false"/>
          <w:color w:val="000000"/>
          <w:sz w:val="22"/>
        </w:rPr>
        <w:t> </w:t>
      </w:r>
      <w:r>
        <w:rPr>
          <w:rFonts w:ascii="Times New Roman" w:hAnsi="Times New Roman"/>
          <w:b w:val="false"/>
          <w:i w:val="false"/>
          <w:color w:val="000000"/>
          <w:sz w:val="22"/>
        </w:rPr>
        <w:t>A designated broker cannot be considered to be a dual agent solely because the designated broker makes an appointment under this rule, except that any licensee who, with prior written consent of all parties, personally represents both the seller and buyer or both the landlord and tenant in a transaction is a dual agent and needs to comply with the rules governing dual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2012.7(4)</w:t>
      </w:r>
      <w:r>
        <w:rPr>
          <w:rFonts w:ascii="Times New Roman" w:hAnsi="Times New Roman"/>
          <w:b w:val="false"/>
          <w:i w:val="false"/>
          <w:color w:val="000000"/>
          <w:sz w:val="22"/>
        </w:rPr>
        <w:t> </w:t>
      </w:r>
      <w:r>
        <w:rPr>
          <w:rFonts w:ascii="Times New Roman" w:hAnsi="Times New Roman"/>
          <w:b w:val="false"/>
          <w:i w:val="false"/>
          <w:color w:val="000000"/>
          <w:sz w:val="22"/>
        </w:rPr>
        <w:t>Appointed agent and designated broker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broker appointing an affiliated licensee(s) to act as an agent of a client takes ordinary and necessary care to protect confidential information disclosed by the client to the appointed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appointed agent may disclose to the brokerage’s designated broker, or a designee specified by the designated broker, confidential information of a client for the purpose of seeking advice or assistance for the benefit of the client in regard to a possible transaction, or to comply with the broker’s supervisory duties. Confidential information is treated as such by the designated broker or other specified representative of the broker and is not disclosed unless otherwise obligated by Iowa law and related commission rules or requested or permitted in writing by the client who originally disclosed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designated broker elects to use the appointed agent within a firm authority set forth in Iowa Code section </w:t>
      </w:r>
      <w:hyperlink r:id="rId36">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and when the affiliated licensee appointed also acts in a supervisory capacity under the designated broker, such as branch managers, sales managers and the like, these appointed licensees may be treated in the same manner as the designated broker for purposes of determining dual agency under Iowa Code section </w:t>
      </w:r>
      <w:hyperlink r:id="rId37">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(2), only if the designated broker authorizes and provides for such supervisory positions in the written company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seller or landlord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buyer or tenant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in a supervisory capacity that is authorized and appointed to supervise and assist licensees appointed to represent a seller or landlord, or buyer or tenant, exclusively, have the same duties, obligations, and responsibilities as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an authorized appointed agent does not relieve the designated broker of duties, obligations, and responsibilities mandated by law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2012.7(5)</w:t>
      </w:r>
      <w:r>
        <w:rPr>
          <w:rFonts w:ascii="Times New Roman" w:hAnsi="Times New Roman"/>
          <w:b w:val="false"/>
          <w:i w:val="false"/>
          <w:color w:val="000000"/>
          <w:sz w:val="22"/>
        </w:rPr>
        <w:t> </w:t>
      </w:r>
      <w:r>
        <w:rPr>
          <w:rFonts w:ascii="Times New Roman" w:hAnsi="Times New Roman"/>
          <w:b w:val="false"/>
          <w:i w:val="false"/>
          <w:color w:val="000000"/>
          <w:sz w:val="22"/>
        </w:rPr>
        <w:t>Licensee’s duty to designated broker or designee. A licensee keeps the brokerage’s designated broker or that broker’s designee fully informed of all activities conducted on behalf of the brokerage and notifies the designated broker or that broker’s designee of any other activities that might impact on the responsibility of the designated broker or that broker’s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7774C</w:t>
      </w:r>
      <w:r>
        <w:rPr>
          <w:rFonts w:ascii="Times New Roman" w:hAnsi="Times New Roman"/>
          <w:b w:val="false"/>
          <w:i w:val="false"/>
          <w:color w:val="000000"/>
          <w:sz w:val="21"/>
        </w:rPr>
        <w:t xml:space="preserve"> (Notice ARC 7453C,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9478C</w:t>
      </w:r>
      <w:r>
        <w:rPr>
          <w:rFonts w:ascii="Times New Roman" w:hAnsi="Times New Roman"/>
          <w:b w:val="false"/>
          <w:i w:val="false"/>
          <w:color w:val="000000"/>
          <w:sz w:val="21"/>
        </w:rPr>
        <w:t xml:space="preserve"> (Notice ARC 8857C,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sectPr>
      <w:footerReference r:id="rId4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12.3.pdf" Type="http://schemas.openxmlformats.org/officeDocument/2006/relationships/hyperlink" Id="rId5"/>
    <Relationship TargetMode="External" Target="https://www.legis.iowa.gov/docs/iac/rule/481.2012.5.pdf" Type="http://schemas.openxmlformats.org/officeDocument/2006/relationships/hyperlink" Id="rId6"/>
    <Relationship TargetMode="External" Target="https://www.legis.iowa.gov/docs/iac/rule/481.2012.2.pdf" Type="http://schemas.openxmlformats.org/officeDocument/2006/relationships/hyperlink" Id="rId7"/>
    <Relationship TargetMode="External" Target="https://www.legis.iowa.gov/docs/iac/rule/481.2012.2.pdf" Type="http://schemas.openxmlformats.org/officeDocument/2006/relationships/hyperlink" Id="rId8"/>
    <Relationship TargetMode="External" Target="https://www.legis.iowa.gov/docs/ico/chapter/543B.57.pdf" Type="http://schemas.openxmlformats.org/officeDocument/2006/relationships/hyperlink" Id="rId9"/>
    <Relationship TargetMode="External" Target="https://www.legis.iowa.gov/docs/ico/chapter/543B.pdf" Type="http://schemas.openxmlformats.org/officeDocument/2006/relationships/hyperlink" Id="rId10"/>
    <Relationship TargetMode="External" Target="https://www.legis.iowa.gov/docs/iac/rule/481.2012.2.pdf" Type="http://schemas.openxmlformats.org/officeDocument/2006/relationships/hyperlink" Id="rId11"/>
    <Relationship TargetMode="External" Target="https://www.legis.iowa.gov/docs/ico/chapter/543B.34.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ac/rule/481.2012.3.pdf" Type="http://schemas.openxmlformats.org/officeDocument/2006/relationships/hyperlink" Id="rId14"/>
    <Relationship TargetMode="External" Target="https://www.legis.iowa.gov/docs/iac/rule/481.2012.5.pdf" Type="http://schemas.openxmlformats.org/officeDocument/2006/relationships/hyperlink" Id="rId15"/>
    <Relationship TargetMode="External" Target="https://www.legis.iowa.gov/docs/ico/chapter/543B.56.pdf" Type="http://schemas.openxmlformats.org/officeDocument/2006/relationships/hyperlink" Id="rId16"/>
    <Relationship TargetMode="External" Target="https://www.legis.iowa.gov/docs/iac/rule/481.2002.1.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co/chapter/543B.56.pdf" Type="http://schemas.openxmlformats.org/officeDocument/2006/relationships/hyperlink" Id="rId19"/>
    <Relationship TargetMode="External" Target="https://www.legis.iowa.gov/docs/iac/rule/481.2012.3.pdf" Type="http://schemas.openxmlformats.org/officeDocument/2006/relationships/hyperlink" Id="rId20"/>
    <Relationship TargetMode="External" Target="https://www.legis.iowa.gov/docs/ico/chapter/543B.56.pdf" Type="http://schemas.openxmlformats.org/officeDocument/2006/relationships/hyperlink" Id="rId21"/>
    <Relationship TargetMode="External" Target="https://www.legis.iowa.gov/docs/iac/rule/481.2002.1.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co/chapter/543B.56.pdf" Type="http://schemas.openxmlformats.org/officeDocument/2006/relationships/hyperlink" Id="rId24"/>
    <Relationship TargetMode="External" Target="https://www.legis.iowa.gov/docs/iac/rule/481.2012.5.pdf" Type="http://schemas.openxmlformats.org/officeDocument/2006/relationships/hyperlink" Id="rId25"/>
    <Relationship TargetMode="External" Target="https://www.legis.iowa.gov/docs/ico/chapter/543B.56.pdf" Type="http://schemas.openxmlformats.org/officeDocument/2006/relationships/hyperlink" Id="rId26"/>
    <Relationship TargetMode="External" Target="https://www.legis.iowa.gov/docs/iac/rule/481.2002.1.pdf" Type="http://schemas.openxmlformats.org/officeDocument/2006/relationships/hyperlink" Id="rId27"/>
    <Relationship TargetMode="External" Target="https://www.legis.iowa.gov/docs/iac/rule/481.2012.3.pdf" Type="http://schemas.openxmlformats.org/officeDocument/2006/relationships/hyperlink" Id="rId28"/>
    <Relationship TargetMode="External" Target="https://www.legis.iowa.gov/docs/iac/rule/481.2012.4.pdf" Type="http://schemas.openxmlformats.org/officeDocument/2006/relationships/hyperlink" Id="rId29"/>
    <Relationship TargetMode="External" Target="https://www.legis.iowa.gov/docs/ico/chapter/543B.56.pdf" Type="http://schemas.openxmlformats.org/officeDocument/2006/relationships/hyperlink" Id="rId30"/>
    <Relationship TargetMode="External" Target="https://www.legis.iowa.gov/docs/ico/chapter/543B.56.pdf" Type="http://schemas.openxmlformats.org/officeDocument/2006/relationships/hyperlink" Id="rId31"/>
    <Relationship TargetMode="External" Target="https://www.legis.iowa.gov/docs/ico/chapter/543B.59.pdf" Type="http://schemas.openxmlformats.org/officeDocument/2006/relationships/hyperlink" Id="rId32"/>
    <Relationship TargetMode="External" Target="https://www.legis.iowa.gov/docs/ico/chapter/543B.59.pdf" Type="http://schemas.openxmlformats.org/officeDocument/2006/relationships/hyperlink" Id="rId33"/>
    <Relationship TargetMode="External" Target="https://www.legis.iowa.gov/docs/ico/chapter/543B.56.pdf" Type="http://schemas.openxmlformats.org/officeDocument/2006/relationships/hyperlink" Id="rId34"/>
    <Relationship TargetMode="External" Target="https://www.legis.iowa.gov/docs/ico/chapter/543B.56.pdf" Type="http://schemas.openxmlformats.org/officeDocument/2006/relationships/hyperlink" Id="rId35"/>
    <Relationship TargetMode="External" Target="https://www.legis.iowa.gov/docs/ico/chapter/543B.59.pdf" Type="http://schemas.openxmlformats.org/officeDocument/2006/relationships/hyperlink" Id="rId36"/>
    <Relationship TargetMode="External" Target="https://www.legis.iowa.gov/docs/ico/chapter/543B.59.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543B.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