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2011</w:t>
      </w:r>
    </w:p>
    <w:p>
      <w:pPr>
        <w:spacing w:before="0" w:after="0"/>
        <w:ind w:left="120"/>
        <w:jc w:val="center"/>
      </w:pPr>
      <w:r>
        <w:rPr>
          <w:rFonts w:ascii="Times New Roman" w:hAnsi="Times New Roman"/>
          <w:b w:val="false"/>
          <w:i w:val="false"/>
          <w:color w:val="000000"/>
          <w:sz w:val="21"/>
        </w:rPr>
        <w:t>BROKERAGE AGREEMENTS AND LISTINGS</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481—2011.1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will be in writing, including the amount of compensation to be paid with disclosure that states compensation is negotiable and not set by law, the signatures of all parties concerned and a definite expiration date not to exceed one calendar year in length from the effective date, for residential properties. An exclusive brokerage agreement or exclusive right to sell agreement clearly indicates that it is such an agreement. A legible copy of every written brokerage agreement or other written authorization is given to the client by a licensee as soon as the signature of the client is obtained.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agreement should properly identify the property and contain the terms and conditions under which the property is to be sold, including but not limited to the list price and any compensation to be earned from the sale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buyer representation agreement is required for all residential properties. Open houses, auctions, and commercial properties are exempt from usage of a buyer representation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brokerage agreement with a buyer or seller if the licensee knows or has reason to know that the buyer or seller has a written unexpired exclusive brokerage agreement or exclusive right to sell listing agreement to the property with another broker unless the buyer or seller initiates the discussion and the licensee has not directly or indirectly solicited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However, if the buyer or seller initiates the discussion, the licensee may negotiate and enter into a brokerage agreement that will take effect after the expiration of the current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buyer or seller initiates the discussion, the licensee may inform the buyer or seller that the buyer or seller needs to allow the current brokerage agreement to expire or obtain a mutually acceptable cancellation from the broker before any further discussion can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 seller if it is known that the seller has a written unexpired contract in connection with the property that grants an exclusive right to sell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purchase, exchange, or lease of real property directly with a buyer or seller if it is known that the buyer or seller has a written unexpired exclusive brokerage agreement with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2011.1(4)</w:t>
      </w:r>
      <w:r>
        <w:rPr>
          <w:rFonts w:ascii="Times New Roman" w:hAnsi="Times New Roman"/>
          <w:b w:val="false"/>
          <w:i w:val="false"/>
          <w:color w:val="000000"/>
          <w:sz w:val="22"/>
        </w:rPr>
        <w:t>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solicit,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2011.1(5)</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compensation. The taking of a net listing is unprofessional conduct and constitutes a violation of Iowa Code sections </w:t>
      </w:r>
      <w:hyperlink r:id="rId5">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481—2011.2</w:t>
      </w:r>
      <w:r>
        <w:rPr>
          <w:rFonts w:ascii="Times New Roman" w:hAnsi="Times New Roman"/>
          <w:b/>
          <w:i w:val="false"/>
          <w:color w:val="000000"/>
          <w:sz w:val="22"/>
        </w:rPr>
        <w:t xml:space="preserve">(543B) </w:t>
      </w:r>
      <w:r>
        <w:rPr>
          <w:rFonts w:ascii="Times New Roman" w:hAnsi="Times New Roman"/>
          <w:b/>
          <w:i w:val="false"/>
          <w:color w:val="000000"/>
          <w:sz w:val="22"/>
        </w:rPr>
        <w:t xml:space="preserve">Cooperation, compensation,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7">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Brokerage agreements will contain a statement disclosing the brokerage policy on cooperating with and compensating other brokerages or the other parties’ agent in the sale, lease, rental, or purchase of real estate, including whether the brokerage intends to split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brokerage agreements comply with Iowa real estate law and commission rules, including but not limited to rules </w:t>
      </w:r>
      <w:hyperlink r:id="rId8">
        <w:r>
          <w:rPr>
            <w:rStyle w:val="Hyperlink"/>
            <w:rFonts w:ascii="Times New Roman" w:hAnsi="Times New Roman"/>
            <w:b w:val="false"/>
            <w:i w:val="false"/>
            <w:color w:val="000000"/>
            <w:sz w:val="22"/>
          </w:rPr>
          <w:t>481—2011.1</w:t>
        </w:r>
      </w:hyperlink>
      <w:r>
        <w:rPr>
          <w:rFonts w:ascii="Times New Roman" w:hAnsi="Times New Roman"/>
          <w:b w:val="false"/>
          <w:i w:val="false"/>
          <w:color w:val="000000"/>
          <w:sz w:val="22"/>
        </w:rPr>
        <w:t xml:space="preserve">(543B) and </w:t>
      </w:r>
      <w:hyperlink r:id="rId9">
        <w:r>
          <w:rPr>
            <w:rStyle w:val="Hyperlink"/>
            <w:rFonts w:ascii="Times New Roman" w:hAnsi="Times New Roman"/>
            <w:b w:val="false"/>
            <w:i w:val="false"/>
            <w:color w:val="000000"/>
            <w:sz w:val="22"/>
          </w:rPr>
          <w:t>481—2011.4</w:t>
        </w:r>
      </w:hyperlink>
      <w:r>
        <w:rPr>
          <w:rFonts w:ascii="Times New Roman" w:hAnsi="Times New Roman"/>
          <w:b w:val="false"/>
          <w:i w:val="false"/>
          <w:color w:val="000000"/>
          <w:sz w:val="22"/>
        </w:rPr>
        <w:t xml:space="preserve">(543B) and </w:t>
      </w:r>
      <w:hyperlink r:id="rId10">
        <w:r>
          <w:rPr>
            <w:rStyle w:val="Hyperlink"/>
            <w:rFonts w:ascii="Times New Roman" w:hAnsi="Times New Roman"/>
            <w:b w:val="false"/>
            <w:i w:val="false"/>
            <w:color w:val="000000"/>
            <w:sz w:val="22"/>
          </w:rPr>
          <w:t>481—Chapter 2015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and not exceeding 12 months. If the transaction does not close, or the agreement for which the broker was engaged is not performed or completed for any reason, the relationship ends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expiration agreed upon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or dual agent and affiliated licensees have the duty after termination, expiration, completion, or performance of the brokerage agreement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Account for all moneys and property related to and received during the engagement;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splitting of compensation between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permission of the client is needed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seller’s or landlord’s agent may split compensation paid by such seller or landlord with another broker, with the written consent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buyer’s or tenant’s agent may split compensation paid by such buyer or tenant with another broker, with the written consent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splitting compensation paid by such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splitting compensation paid by such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broker may be compensated by more than one party for services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 undisclosed compensation for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or pay an undisclosed compensation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any undisclosed rebate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any undisclosed credit against compensation due from a client or licensee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2011.2(5)</w:t>
      </w:r>
      <w:r>
        <w:rPr>
          <w:rFonts w:ascii="Times New Roman" w:hAnsi="Times New Roman"/>
          <w:b w:val="false"/>
          <w:i w:val="false"/>
          <w:color w:val="000000"/>
          <w:sz w:val="22"/>
        </w:rPr>
        <w:t> </w:t>
      </w:r>
      <w:r>
        <w:rPr>
          <w:rFonts w:ascii="Times New Roman" w:hAnsi="Times New Roman"/>
          <w:b w:val="false"/>
          <w:i w:val="false"/>
          <w:color w:val="000000"/>
          <w:sz w:val="22"/>
        </w:rPr>
        <w:t>Any compensation or fee in any brokerage agreement is fully negotiable among the parties to that brokerage agreement. Once the parties to a brokerage agreement have agreed to a compensation or fee, no licensee other than a party to that brokerage agreement attempts to alter, modify, or change or induce another person to alter, modify, or change a compensation or fee that has previously been agreed upon without the prior written consent of the parties to that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481—2011.3</w:t>
      </w:r>
      <w:r>
        <w:rPr>
          <w:rFonts w:ascii="Times New Roman" w:hAnsi="Times New Roman"/>
          <w:b/>
          <w:i w:val="false"/>
          <w:color w:val="000000"/>
          <w:sz w:val="22"/>
        </w:rPr>
        <w:t xml:space="preserve">(543B) </w:t>
      </w:r>
      <w:r>
        <w:rPr>
          <w:rFonts w:ascii="Times New Roman" w:hAnsi="Times New Roman"/>
          <w:b/>
          <w:i w:val="false"/>
          <w:color w:val="000000"/>
          <w:sz w:val="22"/>
        </w:rPr>
        <w:t xml:space="preserve">Terms or conditions. </w:t>
      </w:r>
      <w:r>
        <w:rPr>
          <w:rFonts w:ascii="Times New Roman" w:hAnsi="Times New Roman"/>
          <w:b w:val="false"/>
          <w:i w:val="false"/>
          <w:color w:val="000000"/>
          <w:sz w:val="22"/>
        </w:rPr>
        <w:t xml:space="preserve">A licensee cannot write, prepare or otherwise use a contract containing terms or conditions that would violate real estate laws in Iowa Code chapter </w:t>
      </w:r>
      <w:hyperlink r:id="rId1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The broker is responsible to ensure that all preprinted documents and forms used follow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481—2011.4</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481—2011.5</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brokerage agreement, there must be a provision for the protective clause in the brokerage agreement that establishes a definite protection period. In writing and prior to the expiration of the brokerage agreement, the broker furnishes to the party the names and available contact information of persons to whom the property was presented or a list of each property that was shown during the active term of the brokerage agreement and for whom protection is sought. Delivery is by personal or electronic service with written acknowledgment of receipt, or by regular mail or certified mail postmarked prior to the expiration of the brokerage agreement,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compensation, any part of compensation,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compensation earned to an unlicensed seller, landlord, buyer, or tenant that is a principal party to the brokerage agreement. This will be deemed a reduction in the amount of the earned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12">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13">
        <w:r>
          <w:rPr>
            <w:rStyle w:val="Hyperlink"/>
            <w:rFonts w:ascii="Times New Roman" w:hAnsi="Times New Roman"/>
            <w:b w:val="false"/>
            <w:i w:val="false"/>
            <w:color w:val="000000"/>
            <w:sz w:val="22"/>
          </w:rPr>
          <w:t>481—2011.3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limitations placed on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donation is for a specific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receiving entity does not act or participate in any manner that would need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481—2011.7</w:t>
      </w:r>
      <w:r>
        <w:rPr>
          <w:rFonts w:ascii="Times New Roman" w:hAnsi="Times New Roman"/>
          <w:b/>
          <w:i w:val="false"/>
          <w:color w:val="000000"/>
          <w:sz w:val="22"/>
        </w:rPr>
        <w:t xml:space="preserve">(543B) </w:t>
      </w:r>
      <w:r>
        <w:rPr>
          <w:rFonts w:ascii="Times New Roman" w:hAnsi="Times New Roman"/>
          <w:b/>
          <w:i w:val="false"/>
          <w:color w:val="000000"/>
          <w:sz w:val="22"/>
        </w:rPr>
        <w:t xml:space="preserve">New construction. </w:t>
      </w:r>
      <w:r>
        <w:rPr>
          <w:rFonts w:ascii="Times New Roman" w:hAnsi="Times New Roman"/>
          <w:b w:val="false"/>
          <w:i w:val="false"/>
          <w:color w:val="000000"/>
          <w:sz w:val="22"/>
        </w:rPr>
        <w:t xml:space="preserve">A contract with a builder to construct or attach personal property or other type of structure to land and thereby produce an improvement to real estate is a real estate transaction. A licensee makes written disclosure revealing that the licensee and the licensee’s broker or brokerage firm will receive a commission, compensation, or valuable consideration for its efforts in the transaction, as obligated by paragraph </w:t>
      </w:r>
      <w:hyperlink r:id="rId14">
        <w:r>
          <w:rPr>
            <w:rStyle w:val="Hyperlink"/>
            <w:rFonts w:ascii="Times New Roman" w:hAnsi="Times New Roman"/>
            <w:b w:val="false"/>
            <w:i w:val="false"/>
            <w:color w:val="000000"/>
            <w:sz w:val="22"/>
          </w:rPr>
          <w:t>2011.3(6)</w:t>
        </w:r>
        <w:r>
          <w:rPr>
            <w:rFonts w:ascii="Times New Roman" w:hAnsi="Times New Roman"/>
            <w:b w:val="false"/>
            <w:i/>
            <w:color w:val="000000"/>
            <w:sz w:val="22"/>
          </w:rPr>
          <w:t>“d.”</w:t>
        </w:r>
      </w:hyperlink>
      <w:r>
        <w:rPr>
          <w:rFonts w:ascii="Times New Roman" w:hAnsi="Times New Roman"/>
          <w:b w:val="false"/>
          <w:i w:val="false"/>
          <w:color w:val="000000"/>
          <w:sz w:val="22"/>
        </w:rPr>
        <w:t xml:space="preserve"> Written disclosure is necessary regardless of the type of representation provided by the licensee or if the licensee provides no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9505B</w:t>
      </w:r>
      <w:r>
        <w:rPr>
          <w:rFonts w:ascii="Times New Roman" w:hAnsi="Times New Roman"/>
          <w:b w:val="false"/>
          <w:i w:val="false"/>
          <w:color w:val="000000"/>
          <w:sz w:val="21"/>
        </w:rPr>
        <w:t xml:space="preserve"> (Notice ARC 9389B,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9929B</w:t>
      </w:r>
      <w:r>
        <w:rPr>
          <w:rFonts w:ascii="Times New Roman" w:hAnsi="Times New Roman"/>
          <w:b w:val="false"/>
          <w:i w:val="false"/>
          <w:color w:val="000000"/>
          <w:sz w:val="21"/>
        </w:rPr>
        <w:t xml:space="preserve"> (Notice ARC 9753B,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7773C</w:t>
      </w:r>
      <w:r>
        <w:rPr>
          <w:rFonts w:ascii="Times New Roman" w:hAnsi="Times New Roman"/>
          <w:b w:val="false"/>
          <w:i w:val="false"/>
          <w:color w:val="000000"/>
          <w:sz w:val="21"/>
        </w:rPr>
        <w:t xml:space="preserve"> (Notice ARC 7452C,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9477C</w:t>
      </w:r>
      <w:r>
        <w:rPr>
          <w:rFonts w:ascii="Times New Roman" w:hAnsi="Times New Roman"/>
          <w:b w:val="false"/>
          <w:i w:val="false"/>
          <w:color w:val="000000"/>
          <w:sz w:val="21"/>
        </w:rPr>
        <w:t xml:space="preserve"> (Notice ARC 8856C, IAB 2/19/25)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9.pdf" Type="http://schemas.openxmlformats.org/officeDocument/2006/relationships/hyperlink" Id="rId5"/>
    <Relationship TargetMode="External" Target="https://www.legis.iowa.gov/docs/ico/chapter/543B.34.pdf" Type="http://schemas.openxmlformats.org/officeDocument/2006/relationships/hyperlink" Id="rId6"/>
    <Relationship TargetMode="External" Target="https://www.legis.iowa.gov/docs/ico/chapter/543B.56A.pdf" Type="http://schemas.openxmlformats.org/officeDocument/2006/relationships/hyperlink" Id="rId7"/>
    <Relationship TargetMode="External" Target="https://www.legis.iowa.gov/docs/iac/rule/481.2011.1.pdf" Type="http://schemas.openxmlformats.org/officeDocument/2006/relationships/hyperlink" Id="rId8"/>
    <Relationship TargetMode="External" Target="https://www.legis.iowa.gov/docs/iac/rule/481.2011.4.pdf" Type="http://schemas.openxmlformats.org/officeDocument/2006/relationships/hyperlink" Id="rId9"/>
    <Relationship TargetMode="External" Target="https://www.legis.iowa.gov/docs/iac/chapter/481.2015.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ac/rule/481.2011.3.pdf" Type="http://schemas.openxmlformats.org/officeDocument/2006/relationships/hyperlink" Id="rId12"/>
    <Relationship TargetMode="External" Target="https://www.legis.iowa.gov/docs/iac/rule/481.2011.3.pdf" Type="http://schemas.openxmlformats.org/officeDocument/2006/relationships/hyperlink" Id="rId13"/>
    <Relationship TargetMode="External" Target="https://www.legis.iowa.gov/docs/iac/rule/481.2011.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3B.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