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2006</w:t>
      </w:r>
    </w:p>
    <w:p>
      <w:pPr>
        <w:spacing w:before="0" w:after="0"/>
        <w:ind w:left="120"/>
        <w:jc w:val="center"/>
      </w:pPr>
      <w:r>
        <w:rPr>
          <w:rFonts w:ascii="Times New Roman" w:hAnsi="Times New Roman"/>
          <w:b w:val="false"/>
          <w:i w:val="false"/>
          <w:color w:val="000000"/>
          <w:sz w:val="21"/>
        </w:rPr>
        <w:t>TERMINATION AND TRANSFER</w:t>
      </w:r>
    </w:p>
    <w:p>
      <w:pPr>
        <w:spacing w:before="0" w:after="0"/>
        <w:ind w:left="120"/>
        <w:jc w:val="center"/>
      </w:pPr>
      <w:r>
        <w:rPr>
          <w:rFonts w:ascii="Times New Roman" w:hAnsi="Times New Roman"/>
          <w:b w:val="false"/>
          <w:i w:val="false"/>
          <w:color w:val="000000"/>
          <w:sz w:val="20"/>
        </w:rPr>
        <w:t>[Prior to 6/10/26, see Real Estate Commission[193E]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481—2006.1</w:t>
      </w:r>
      <w:r>
        <w:rPr>
          <w:rFonts w:ascii="Times New Roman" w:hAnsi="Times New Roman"/>
          <w:b/>
          <w:i w:val="false"/>
          <w:color w:val="000000"/>
          <w:sz w:val="22"/>
        </w:rPr>
        <w:t xml:space="preserve">(543B) </w:t>
      </w:r>
      <w:r>
        <w:rPr>
          <w:rFonts w:ascii="Times New Roman" w:hAnsi="Times New Roman"/>
          <w:b/>
          <w:i w:val="false"/>
          <w:color w:val="000000"/>
          <w:sz w:val="22"/>
        </w:rPr>
        <w:t xml:space="preserve">Terminating employment or association. </w:t>
      </w:r>
      <w:r>
        <w:rPr>
          <w:rFonts w:ascii="Times New Roman" w:hAnsi="Times New Roman"/>
          <w:b w:val="false"/>
          <w:i w:val="false"/>
          <w:color w:val="000000"/>
          <w:sz w:val="22"/>
        </w:rPr>
        <w:t>When a licensee is discharged by the affiliated broker or the licensee terminates the employment or association with the affiliated broker, the licensee immediately ceases all activities that need an active real estate license until such time as a new affiliated broker makes written request for the license and the license is reassigned to the new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broker discharges a salesperson or broker associate, the broker complies with all criteria of Iowa Code section </w:t>
      </w:r>
      <w:hyperlink r:id="rId5">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The releasing broker makes a reasonable effort to ensure that an application to inactivate the licensee is submitted electronically to the commission within 72 hours of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2006.1(2)</w:t>
      </w:r>
      <w:r>
        <w:rPr>
          <w:rFonts w:ascii="Times New Roman" w:hAnsi="Times New Roman"/>
          <w:b w:val="false"/>
          <w:i w:val="false"/>
          <w:color w:val="000000"/>
          <w:sz w:val="22"/>
        </w:rPr>
        <w:t> </w:t>
      </w:r>
      <w:r>
        <w:rPr>
          <w:rFonts w:ascii="Times New Roman" w:hAnsi="Times New Roman"/>
          <w:b w:val="false"/>
          <w:i w:val="false"/>
          <w:color w:val="000000"/>
          <w:sz w:val="22"/>
        </w:rPr>
        <w:t>The licensee may terminate the employment or association by providing written notice to the affiliated broker advising the effective date of the termination and requesting that the license be immediately returned to the commission. The affiliated broker cannot refuse to comply with the request. The releasing broker makes every reasonable effort to ensure that the commission receives the electronic application within 72 hours of the termination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481—2006.2</w:t>
      </w:r>
      <w:r>
        <w:rPr>
          <w:rFonts w:ascii="Times New Roman" w:hAnsi="Times New Roman"/>
          <w:b/>
          <w:i w:val="false"/>
          <w:color w:val="000000"/>
          <w:sz w:val="22"/>
        </w:rPr>
        <w:t xml:space="preserve">(543B) </w:t>
      </w:r>
      <w:r>
        <w:rPr>
          <w:rFonts w:ascii="Times New Roman" w:hAnsi="Times New Roman"/>
          <w:b/>
          <w:i w:val="false"/>
          <w:color w:val="000000"/>
          <w:sz w:val="22"/>
        </w:rPr>
        <w:t xml:space="preserve">Transfer of license and necessary transfer application. </w:t>
      </w:r>
      <w:r>
        <w:rPr>
          <w:rFonts w:ascii="Times New Roman" w:hAnsi="Times New Roman"/>
          <w:b w:val="false"/>
          <w:i w:val="false"/>
          <w:color w:val="000000"/>
          <w:sz w:val="22"/>
        </w:rPr>
        <w:t>All requests for transfer of license are made on the necessary electronic application for license transfer available from the commission. The license transfer application is only used for transferring the license from the affiliated broker to a new affiliated broker. This transfer application is only to be used if the transferring licensee has obtained the necessary information from the new affiliating broker. The license transfer application cannot be used for licensees who are terminated or who quit prior to obtaining a new affiliating broker. The transfer application cannot be backdated to a new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2006.2(1)</w:t>
      </w:r>
      <w:r>
        <w:rPr>
          <w:rFonts w:ascii="Times New Roman" w:hAnsi="Times New Roman"/>
          <w:b w:val="false"/>
          <w:i w:val="false"/>
          <w:color w:val="000000"/>
          <w:sz w:val="22"/>
        </w:rPr>
        <w:t> </w:t>
      </w:r>
      <w:r>
        <w:rPr>
          <w:rFonts w:ascii="Times New Roman" w:hAnsi="Times New Roman"/>
          <w:b w:val="false"/>
          <w:i w:val="false"/>
          <w:color w:val="000000"/>
          <w:sz w:val="22"/>
        </w:rPr>
        <w:t>The license transfer process involves three steps, and each step needs to be correctly completed to qualify as a valid transfer. The steps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transferring licensee submits the electronic transfer application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Both the new affiliating broker and releasing broker electronically approve the transfer request within 48 hours of receiving notification from the commission of the transfer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electronic transfer application is approved and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2006.2(2)</w:t>
      </w:r>
      <w:r>
        <w:rPr>
          <w:rFonts w:ascii="Times New Roman" w:hAnsi="Times New Roman"/>
          <w:b w:val="false"/>
          <w:i w:val="false"/>
          <w:color w:val="000000"/>
          <w:sz w:val="22"/>
        </w:rPr>
        <w:t> </w:t>
      </w:r>
      <w:r>
        <w:rPr>
          <w:rFonts w:ascii="Times New Roman" w:hAnsi="Times New Roman"/>
          <w:b w:val="false"/>
          <w:i w:val="false"/>
          <w:color w:val="000000"/>
          <w:sz w:val="22"/>
        </w:rPr>
        <w:t>Transfer effective date. The effective date of the transfer is the date of approval and issuance from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8284B</w:t>
      </w:r>
      <w:r>
        <w:rPr>
          <w:rFonts w:ascii="Times New Roman" w:hAnsi="Times New Roman"/>
          <w:b w:val="false"/>
          <w:i w:val="false"/>
          <w:color w:val="000000"/>
          <w:sz w:val="21"/>
        </w:rPr>
        <w:t xml:space="preserve"> (Notice ARC 8058B,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7768C</w:t>
      </w:r>
      <w:r>
        <w:rPr>
          <w:rFonts w:ascii="Times New Roman" w:hAnsi="Times New Roman"/>
          <w:b w:val="false"/>
          <w:i w:val="false"/>
          <w:color w:val="000000"/>
          <w:sz w:val="21"/>
        </w:rPr>
        <w:t xml:space="preserve"> (Notice ARC 7447C,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3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