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2004</w:t>
      </w:r>
    </w:p>
    <w:p>
      <w:pPr>
        <w:spacing w:before="0" w:after="0"/>
        <w:ind w:left="120"/>
        <w:jc w:val="center"/>
      </w:pPr>
      <w:r>
        <w:rPr>
          <w:rFonts w:ascii="Times New Roman" w:hAnsi="Times New Roman"/>
          <w:b w:val="false"/>
          <w:i w:val="false"/>
          <w:color w:val="000000"/>
          <w:sz w:val="21"/>
        </w:rPr>
        <w:t>SALESPERSON LICENSE</w:t>
      </w:r>
    </w:p>
    <w:p>
      <w:pPr>
        <w:spacing w:before="0" w:after="0"/>
        <w:ind w:left="120"/>
        <w:jc w:val="center"/>
      </w:pPr>
      <w:r>
        <w:rPr>
          <w:rFonts w:ascii="Times New Roman" w:hAnsi="Times New Roman"/>
          <w:b w:val="false"/>
          <w:i w:val="false"/>
          <w:color w:val="000000"/>
          <w:sz w:val="20"/>
        </w:rPr>
        <w:t>[Prior to 9/4/02, see 193E—2.10(543B), 193E—2.11(543B), 193E—3.2(543B), and 193E—3.3(543B)]</w:t>
      </w:r>
    </w:p>
    <w:p>
      <w:pPr>
        <w:spacing w:before="0" w:after="0"/>
        <w:ind w:left="120"/>
        <w:jc w:val="center"/>
      </w:pPr>
      <w:r>
        <w:rPr>
          <w:rFonts w:ascii="Times New Roman" w:hAnsi="Times New Roman"/>
          <w:b w:val="false"/>
          <w:i w:val="false"/>
          <w:color w:val="000000"/>
          <w:sz w:val="20"/>
        </w:rPr>
        <w:t>[Prior to 6/10/26, see Real Estate Commission[193E]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481—2004.1</w:t>
      </w:r>
      <w:r>
        <w:rPr>
          <w:rFonts w:ascii="Times New Roman" w:hAnsi="Times New Roman"/>
          <w:b/>
          <w:i w:val="false"/>
          <w:color w:val="000000"/>
          <w:sz w:val="22"/>
        </w:rPr>
        <w:t xml:space="preserve">(543B) </w:t>
      </w:r>
      <w:r>
        <w:rPr>
          <w:rFonts w:ascii="Times New Roman" w:hAnsi="Times New Roman"/>
          <w:b/>
          <w:i w:val="false"/>
          <w:color w:val="000000"/>
          <w:sz w:val="22"/>
        </w:rPr>
        <w:t xml:space="preserve">General criteria for salesperson license. </w:t>
      </w:r>
      <w:r>
        <w:rPr>
          <w:rFonts w:ascii="Times New Roman" w:hAnsi="Times New Roman"/>
          <w:b w:val="false"/>
          <w:i w:val="false"/>
          <w:color w:val="000000"/>
          <w:sz w:val="22"/>
        </w:rPr>
        <w:t xml:space="preserve">A person who is licensed under and employed by or otherwise associated with a real estate broker or firm is a “salesperson” as defined in Iowa Code section </w:t>
      </w:r>
      <w:hyperlink r:id="rId5">
        <w:r>
          <w:rPr>
            <w:rStyle w:val="Hyperlink"/>
            <w:rFonts w:ascii="Times New Roman" w:hAnsi="Times New Roman"/>
            <w:b w:val="false"/>
            <w:i w:val="false"/>
            <w:color w:val="000000"/>
            <w:sz w:val="22"/>
          </w:rPr>
          <w:t>543B.5(20)</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2004.1(1)</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for a salesperson license cannot be issued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is transferred, as provided in rule </w:t>
      </w:r>
      <w:hyperlink r:id="rId7">
        <w:r>
          <w:rPr>
            <w:rStyle w:val="Hyperlink"/>
            <w:rFonts w:ascii="Times New Roman" w:hAnsi="Times New Roman"/>
            <w:b w:val="false"/>
            <w:i w:val="false"/>
            <w:color w:val="000000"/>
            <w:sz w:val="22"/>
          </w:rPr>
          <w:t>481—2006.2</w:t>
        </w:r>
      </w:hyperlink>
      <w:r>
        <w:rPr>
          <w:rFonts w:ascii="Times New Roman" w:hAnsi="Times New Roman"/>
          <w:b w:val="false"/>
          <w:i w:val="false"/>
          <w:color w:val="000000"/>
          <w:sz w:val="22"/>
        </w:rPr>
        <w:t>(543B), the salesperson may work immediately for the new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2004.1(3)</w:t>
      </w:r>
      <w:r>
        <w:rPr>
          <w:rFonts w:ascii="Times New Roman" w:hAnsi="Times New Roman"/>
          <w:b w:val="false"/>
          <w:i w:val="false"/>
          <w:color w:val="000000"/>
          <w:sz w:val="22"/>
        </w:rPr>
        <w:t> </w:t>
      </w:r>
      <w:r>
        <w:rPr>
          <w:rFonts w:ascii="Times New Roman" w:hAnsi="Times New Roman"/>
          <w:b w:val="false"/>
          <w:i w:val="false"/>
          <w:color w:val="000000"/>
          <w:sz w:val="22"/>
        </w:rPr>
        <w:t>A salesperson is assigned to a licensed broker or firm and cannot conduct business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8">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 applicant for a salesperson license must meet all qualifications under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salesperson license who has been convicted of a disqualifying criminal offense in a court of competent jurisdiction in this state or in any other state, jurisdiction, territory, or district of the United States, or in any foreign jurisdiction, may be denied a license by the commission on the grounds of the conviction as provided by Iowa Code section </w:t>
      </w:r>
      <w:hyperlink r:id="rId1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481—502.2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2004.1(6)</w:t>
      </w:r>
      <w:r>
        <w:rPr>
          <w:rFonts w:ascii="Times New Roman" w:hAnsi="Times New Roman"/>
          <w:b w:val="false"/>
          <w:i w:val="false"/>
          <w:color w:val="000000"/>
          <w:sz w:val="22"/>
        </w:rPr>
        <w:t> </w:t>
      </w:r>
      <w:r>
        <w:rPr>
          <w:rFonts w:ascii="Times New Roman" w:hAnsi="Times New Roman"/>
          <w:b w:val="false"/>
          <w:i w:val="false"/>
          <w:color w:val="000000"/>
          <w:sz w:val="22"/>
        </w:rPr>
        <w:t>An applicant for a real estate salesperson license who has had a professional license of any kind revoked in this or any other jurisdiction may be denied a license by the commission on the grounds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2004.1(7)</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 prelicense education requirements. As required by Iowa Code section </w:t>
      </w:r>
      <w:hyperlink r:id="rId12">
        <w:r>
          <w:rPr>
            <w:rStyle w:val="Hyperlink"/>
            <w:rFonts w:ascii="Times New Roman" w:hAnsi="Times New Roman"/>
            <w:b w:val="false"/>
            <w:i w:val="false"/>
            <w:color w:val="000000"/>
            <w:sz w:val="22"/>
          </w:rPr>
          <w:t>543B.15(8)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 the required course of study for the salesperson licensing examination consists of 60 live instruction or online learning hours of real estate principles and practices. To be eligible to take the examination, the 60 live education or online learning hours of real estate principles and practices are completed during the 12 months prior to taking the examination. The applicant will also provide evidence of successful completion of the following courses: 12 hours of Developing Professionalism and Ethical Practices, 12 hours of Buying Practices and 12 hours of Listing Practices. The prelicense education will expire after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salesperson are conducted by the commission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will approve the form, contract, and method of administration. The examination is conducted in accordance with approved procedures formulated by the testing service.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1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60 live education or online learning hours of real estate principles and practices have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from the commission granting a waiver of prelicense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5">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16">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waiver granted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salesperson license. </w:t>
      </w:r>
      <w:r>
        <w:rPr>
          <w:rFonts w:ascii="Times New Roman" w:hAnsi="Times New Roman"/>
          <w:b w:val="false"/>
          <w:i w:val="false"/>
          <w:color w:val="000000"/>
          <w:sz w:val="22"/>
        </w:rPr>
        <w:t xml:space="preserve">An applicant who passes a qualifying examination and applies for a license must file with the commission a completed application with license fee, proof of required education, and test score report not later than the last working day of the sixth calendar month following the qualifying real estate examination. As required by Iowa Code section </w:t>
      </w:r>
      <w:hyperlink r:id="rId17">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application includes detailed personal, financial, and business information concerning the applicant, and the applicant for licensure attests to its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A salesperson license is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1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481—2004.4</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2004.4(1)</w:t>
      </w:r>
      <w:r>
        <w:rPr>
          <w:rFonts w:ascii="Times New Roman" w:hAnsi="Times New Roman"/>
          <w:b w:val="false"/>
          <w:i w:val="false"/>
          <w:color w:val="000000"/>
          <w:sz w:val="22"/>
        </w:rPr>
        <w:t> </w:t>
      </w:r>
      <w:r>
        <w:rPr>
          <w:rFonts w:ascii="Times New Roman" w:hAnsi="Times New Roman"/>
          <w:b w:val="false"/>
          <w:i w:val="false"/>
          <w:color w:val="000000"/>
          <w:sz w:val="22"/>
        </w:rPr>
        <w:t>As a requirement of license renewal in active status, each salesperson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2004.4(2)</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renewing licenses shall complete approved courses in the following subjects to renew to active status, except in accordance with </w:t>
      </w:r>
      <w:hyperlink r:id="rId20">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Law Update </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2004.4(3)</w:t>
      </w:r>
      <w:r>
        <w:rPr>
          <w:rFonts w:ascii="Times New Roman" w:hAnsi="Times New Roman"/>
          <w:b w:val="false"/>
          <w:i w:val="false"/>
          <w:color w:val="000000"/>
          <w:sz w:val="22"/>
        </w:rPr>
        <w:t> </w:t>
      </w:r>
      <w:r>
        <w:rPr>
          <w:rFonts w:ascii="Times New Roman" w:hAnsi="Times New Roman"/>
          <w:b w:val="false"/>
          <w:i w:val="false"/>
          <w:color w:val="000000"/>
          <w:sz w:val="22"/>
        </w:rPr>
        <w:t>A salesperson license may be renewed to inactive status without completion of continuing education. Prior to reactivating a license that has been issued inactive due to failure to submit evidence of continuing education, the licensee must submit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Renewing a license. </w:t>
      </w:r>
      <w:r>
        <w:rPr>
          <w:rFonts w:ascii="Times New Roman" w:hAnsi="Times New Roman"/>
          <w:b w:val="false"/>
          <w:i w:val="false"/>
          <w:color w:val="000000"/>
          <w:sz w:val="22"/>
        </w:rPr>
        <w:t>To remain authorized to act as a real estate salesperson, a salesperson must renew a real estate license before the expiration date of the license. Salespersons who fail to renew a real estate license before expiration are not authorized to practice as real estate salespersons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salesperson license may be found on the commission’s website. Salespersons will renew electronically. While the commission generally mails reminders to salespersons in the November preceding license expiration, the failure of the commission to mail a reminder does not excuse the salesperson from the requirement to timely renew.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shall grant an application to renew a salesperson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21">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required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fails to reveal grounds to deny a license, such as a criminal conviction or the revocation of a license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or postmarked, after midnight January 30 shall be treated as applications to reinstate an expired license under rule </w:t>
      </w:r>
      <w:hyperlink r:id="rId22">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salesperson license which are incomplete or which are not accompanied by the proper fee may be returned to the salesperson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proper fee, shall be renewed in inactive status. In the event of a factual dispute regarding the salesperson’s intent to renew in inactive status or a salesperson’s compliance with continuing education requirements, the commission may deny the application and provide the applicant with an opportunity for hearing according to the procedures set forth in </w:t>
      </w:r>
      <w:hyperlink r:id="rId2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481—2018.13</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to renew shall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must be timely renewed or it shall expire.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salesperson license. </w:t>
      </w:r>
      <w:r>
        <w:rPr>
          <w:rFonts w:ascii="Times New Roman" w:hAnsi="Times New Roman"/>
          <w:b w:val="false"/>
          <w:i w:val="false"/>
          <w:color w:val="000000"/>
          <w:sz w:val="22"/>
        </w:rPr>
        <w:t>A real estate salesperson who fails to renew or fails to file a complete renewal application form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salesperson is not authorized to practice as a real estate salesperson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An application to reinstate an expired salesperson license must report that the salesperson either fully satisfied all required continuing education or has retaken and passed the salesperson examination. A salesperson holding an expired license who wishes to retake the salesperson examination must obtain written authorization from the commission to show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2004.6(2)</w:t>
      </w:r>
      <w:r>
        <w:rPr>
          <w:rFonts w:ascii="Times New Roman" w:hAnsi="Times New Roman"/>
          <w:b w:val="false"/>
          <w:i w:val="false"/>
          <w:color w:val="000000"/>
          <w:sz w:val="22"/>
        </w:rPr>
        <w:t> </w:t>
      </w:r>
      <w:r>
        <w:rPr>
          <w:rFonts w:ascii="Times New Roman" w:hAnsi="Times New Roman"/>
          <w:b w:val="false"/>
          <w:i/>
          <w:color w:val="000000"/>
          <w:sz w:val="22"/>
        </w:rPr>
        <w:t xml:space="preserve">Deposit of reinstatement fees. </w:t>
      </w:r>
      <w:r>
        <w:rPr>
          <w:rFonts w:ascii="Times New Roman" w:hAnsi="Times New Roman"/>
          <w:b w:val="false"/>
          <w:i w:val="false"/>
          <w:color w:val="000000"/>
          <w:sz w:val="22"/>
        </w:rPr>
        <w:t xml:space="preserve">Reinstatement fees collected under this rule shall be transmitted to the treasurer’s office and credited to the education fund established in Iowa Code section </w:t>
      </w:r>
      <w:hyperlink r:id="rId27">
        <w:r>
          <w:rPr>
            <w:rStyle w:val="Hyperlink"/>
            <w:rFonts w:ascii="Times New Roman" w:hAnsi="Times New Roman"/>
            <w:b w:val="false"/>
            <w:i w:val="false"/>
            <w:color w:val="000000"/>
            <w:sz w:val="22"/>
          </w:rPr>
          <w:t>543B.54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2004.6(3)</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salesperson who fails to reinstate an expired license by December 31 of the third year following expiration shall be treated as if the former salesperson had never been licensed in Iowa. Such a former salesperson must start over in the licensing process and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2004.6(4)</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shall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7766C</w:t>
      </w:r>
      <w:r>
        <w:rPr>
          <w:rFonts w:ascii="Times New Roman" w:hAnsi="Times New Roman"/>
          <w:b w:val="false"/>
          <w:i w:val="false"/>
          <w:color w:val="000000"/>
          <w:sz w:val="21"/>
        </w:rPr>
        <w:t xml:space="preserve"> (Notice ARC 7445C,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9246C</w:t>
      </w:r>
      <w:r>
        <w:rPr>
          <w:rFonts w:ascii="Times New Roman" w:hAnsi="Times New Roman"/>
          <w:b w:val="false"/>
          <w:i w:val="false"/>
          <w:color w:val="000000"/>
          <w:sz w:val="21"/>
        </w:rPr>
        <w:t xml:space="preserve"> (Notice ARC 8851C,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ac/rule/481.2002.1.pdf" Type="http://schemas.openxmlformats.org/officeDocument/2006/relationships/hyperlink" Id="rId6"/>
    <Relationship TargetMode="External" Target="https://www.legis.iowa.gov/docs/iac/rule/481.2006.2.pdf" Type="http://schemas.openxmlformats.org/officeDocument/2006/relationships/hyperlink" Id="rId7"/>
    <Relationship TargetMode="External" Target="https://www.legis.iowa.gov/docs/ico/chapter/543B.21.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co/chapter/272C.15.pdf" Type="http://schemas.openxmlformats.org/officeDocument/2006/relationships/hyperlink" Id="rId10"/>
    <Relationship TargetMode="External" Target="https://www.legis.iowa.gov/docs/iac/rule/481.502.2.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ac/chapter/481.2016.pdf" Type="http://schemas.openxmlformats.org/officeDocument/2006/relationships/hyperlink" Id="rId13"/>
    <Relationship TargetMode="External" Target="https://www.legis.iowa.gov/docs/ico/chapter/543B.15.pdf" Type="http://schemas.openxmlformats.org/officeDocument/2006/relationships/hyperlink" Id="rId14"/>
    <Relationship TargetMode="External" Target="https://www.legis.iowa.gov/docs/iac/rule/481.2005.3.pdf" Type="http://schemas.openxmlformats.org/officeDocument/2006/relationships/hyperlink" Id="rId15"/>
    <Relationship TargetMode="External" Target="https://www.legis.iowa.gov/docs/iac/rule/481.2005.11.pdf" Type="http://schemas.openxmlformats.org/officeDocument/2006/relationships/hyperlink" Id="rId16"/>
    <Relationship TargetMode="External" Target="https://www.legis.iowa.gov/docs/ico/chapter/543B.15.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ac/chapter/481.506.pdf" Type="http://schemas.openxmlformats.org/officeDocument/2006/relationships/hyperlink" Id="rId19"/>
    <Relationship TargetMode="External" Target="https://www.legis.iowa.gov/docs/iac/chapter/481.2016.pdf" Type="http://schemas.openxmlformats.org/officeDocument/2006/relationships/hyperlink" Id="rId20"/>
    <Relationship TargetMode="External" Target="https://www.legis.iowa.gov/docs/ico/chapter/543B.28.pdf" Type="http://schemas.openxmlformats.org/officeDocument/2006/relationships/hyperlink" Id="rId21"/>
    <Relationship TargetMode="External" Target="https://www.legis.iowa.gov/docs/iac/rule/481.2004.6.pdf" Type="http://schemas.openxmlformats.org/officeDocument/2006/relationships/hyperlink" Id="rId22"/>
    <Relationship TargetMode="External" Target="https://www.legis.iowa.gov/docs/iac/chapter/481.506.pdf" Type="http://schemas.openxmlformats.org/officeDocument/2006/relationships/hyperlink" Id="rId23"/>
    <Relationship TargetMode="External" Target="https://www.legis.iowa.gov/docs/iac/rule/481.2018.13.pdf" Type="http://schemas.openxmlformats.org/officeDocument/2006/relationships/hyperlink" Id="rId24"/>
    <Relationship TargetMode="External" Target="https://www.legis.iowa.gov/docs/ico/chapter/543B.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co/chapter/543B.54.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ac/chapter/481.506.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543B.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