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1084</w:t>
      </w:r>
    </w:p>
    <w:p>
      <w:pPr>
        <w:spacing w:before="0" w:after="0"/>
        <w:ind w:left="120"/>
        <w:jc w:val="center"/>
      </w:pPr>
      <w:r>
        <w:rPr>
          <w:rFonts w:ascii="Times New Roman" w:hAnsi="Times New Roman"/>
          <w:b w:val="false"/>
          <w:i w:val="false"/>
          <w:color w:val="000000"/>
          <w:sz w:val="21"/>
        </w:rPr>
        <w:t>RULES OF PROFESSIONAL CONDUCT AND DISCIPLINE PROCEDURES</w:t>
      </w:r>
    </w:p>
    <w:p>
      <w:pPr>
        <w:spacing w:before="0" w:after="0"/>
        <w:ind w:left="120"/>
        <w:jc w:val="center"/>
      </w:pPr>
      <w:r>
        <w:rPr>
          <w:rFonts w:ascii="Times New Roman" w:hAnsi="Times New Roman"/>
          <w:b w:val="false"/>
          <w:i w:val="false"/>
          <w:color w:val="000000"/>
          <w:sz w:val="20"/>
        </w:rPr>
        <w:t>[Prior to 3/9/88, see Landscape Architectural Examiners Board[540] Ch 4]</w:t>
      </w:r>
    </w:p>
    <w:p>
      <w:pPr>
        <w:spacing w:before="0" w:after="0"/>
        <w:ind w:left="120"/>
        <w:jc w:val="center"/>
      </w:pPr>
      <w:r>
        <w:rPr>
          <w:rFonts w:ascii="Times New Roman" w:hAnsi="Times New Roman"/>
          <w:b w:val="false"/>
          <w:i w:val="false"/>
          <w:color w:val="000000"/>
          <w:sz w:val="20"/>
        </w:rPr>
        <w:t>[Prior to 6/10/26, see Landscape Architectural Examining Board[193D]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481—1084.1</w:t>
      </w:r>
      <w:r>
        <w:rPr>
          <w:rFonts w:ascii="Times New Roman" w:hAnsi="Times New Roman"/>
          <w:b/>
          <w:i w:val="false"/>
          <w:color w:val="000000"/>
          <w:sz w:val="22"/>
        </w:rPr>
        <w:t xml:space="preserve">(544B,17A)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 xml:space="preserve">Failure by a licensee to adhere to the provisions of Iowa Code chapters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rules implementing either chapter will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The following definition applies as used in Iowa Code chapter </w:t>
      </w:r>
      <w:hyperlink r:id="rId7">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“Official copy”</w:t>
      </w:r>
      <w:r>
        <w:rPr>
          <w:rFonts w:ascii="Times New Roman" w:hAnsi="Times New Roman"/>
          <w:b w:val="false"/>
          <w:i w:val="false"/>
          <w:color w:val="000000"/>
          <w:sz w:val="22"/>
        </w:rPr>
        <w:t> </w:t>
      </w:r>
      <w:r>
        <w:rPr>
          <w:rFonts w:ascii="Times New Roman" w:hAnsi="Times New Roman"/>
          <w:b w:val="false"/>
          <w:i w:val="false"/>
          <w:color w:val="000000"/>
          <w:sz w:val="22"/>
        </w:rPr>
        <w:t>means technical submission for purposes of required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1084.1(2)</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practicing landscape architecture, a professional landscape architect will act with reasonable care and competence and will apply the technical knowledge and skill that is ordinarily applied by a landscape architect of good standing practicing in the same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designing a project, a professional landscape architect will take into account all applicable state and municipal building laws and regulations. While professional landscape architects may rely on the advice of other professionals (e.g., attorneys, architects, engineers and other qualified persons) as to the intent and meaning of the regulations, once such advice is obtained, a landscape architect will not knowingly design a project in violation of these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undertake to perform professional services only when the professional landscape architect together with those whom the professional landscape architect may engage as consultants are qualified by education, training and experience in the specific technical areas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will be permitted to practice landscape architecture if, in the board’s judgment, upon receipt of medical testimony or evidence, the person’s professional competence is substantially impaired by physical or mental disabilities or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1084.1(3)</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accept compensation for services from more than one party on a project unless the circumstances are fully disclosed and agreed to (such disclosures and agreement to be in writing) by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professional landscape architect has any business association or direct or indirect financial interest that is substantial enough to influence judgment in connection with the professional landscape architect’s performance of professional services, the professional landscape architect will fully disclose, in writing, to the client or employer the nature of the business association or financial interest. If the client or employer objects to the association or financial interest, the professional landscape architect shall either terminate such association or interest or offer to give up the commission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solicit or accept compensation from material or equipment suppliers in return for specifying or endorsing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acting as the interpreter of building contract documents and the judge of contract performance, a professional landscape architect shall render decisions impartially, favoring neither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1084.1(4)</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making public statements on landscape architectural questions will disclose when compensation is being received for making the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accurately represent to a prospective or existing client or employer the professional landscape architect’s qualifications and the scope of the professional landscape architect’s responsibility in connection with work for which the professional landscape architect is claiming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 the course of work on a project, a professional landscape architect becomes aware of an action taken by the employer or client against the professional landscape architect’s advice that violates applicable state or municipal building laws and regulations and that will, in the professional landscape architect’s judgment, adversely affect the safety to the public of the finished project, the professional landscape architect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 the decision to the local building inspector or other public official charged with enforcement of the applicable state or municipal building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Refuse to consent to the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circumstances when the professional landscape architect reasonably believes that other actions will be taken, notwithstanding the landscape architect’s objection, terminate the professional landscape architect’s services with reference to the project. In the case of a termination in accordance with this clause, the professional landscape architect will have no liability to the professional landscape architect’s client or employer on account of such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deliberately make a materially false statement or deliberately fail to disclose a material fact requested in connection with application for licensure or renewal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assist in the application for licensure of a person known by the professional landscape architect to be unqualified with respect to education, training, experience or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possessing knowledge of a violation of these rules by another professional landscape architect will report the knowledge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in the conduct of landscape architectural practice, knowingly violate any state or federal criminal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neither offer nor make any payment to a government official (whether elected or appointed) with the intent of influencing the official’s judgment in connection with a prospective or existing project in which the professional landscape architect is interested.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comply with the licensure laws and regulations governing the landscape architect’s professional practice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1084.1(6)</w:t>
      </w: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office maintained for the preparation of drawings, specifications, reports or other professional work will have a professional landscape architect regularly employed in or assigned to that office who has responsible control of such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sign or seal drawings, specifications, reports or other professional work for which the landscape architect does not have direct professional knowledge and direct supervisory control, provided, however, that in the case of the portions of professional work prepared by the landscape architect’s consultants, licensed under this or another professional licensure law of this jurisdiction, the professional landscape architect may sign or seal that portion of the professional work if the landscape architect has reviewed that portion, has coordinated its preparation and intends to be responsible for its adequacy.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neither offer nor make any gifts to any public official with the intent of influencing the official’s judgment in connection with a project in which the professional landscape architect is interested. Nothing in this rule shall prohibit a professional landscape architect from providing landscape architect services as a charitable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engage in conduct involving fraud or wanton disregard of the rights of others.</w:t>
      </w:r>
    </w:p>
    <w:p>
      <w:pPr>
        <w:spacing w:before="0" w:after="0"/>
        <w:ind w:left="120"/>
        <w:jc w:val="both"/>
      </w:pPr>
      <w:r>
        <w:rPr>
          <w:rFonts w:ascii="Times New Roman" w:hAnsi="Times New Roman"/>
          <w:b/>
          <w:i w:val="false"/>
          <w:color w:val="000000"/>
          <w:sz w:val="22"/>
        </w:rPr>
        <w:t>1084.1(7)</w:t>
      </w:r>
      <w:r>
        <w:rPr>
          <w:rFonts w:ascii="Times New Roman" w:hAnsi="Times New Roman"/>
          <w:b w:val="false"/>
          <w:i w:val="false"/>
          <w:color w:val="000000"/>
          <w:sz w:val="22"/>
        </w:rPr>
        <w:t> </w:t>
      </w:r>
      <w:r>
        <w:rPr>
          <w:rFonts w:ascii="Times New Roman" w:hAnsi="Times New Roman"/>
          <w:b w:val="false"/>
          <w:i/>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professional landscape architect will procure a seal with which to identify all technical submissions issued by the professional landscape architect for use in Iowa as provided in Iowa Code section </w:t>
      </w:r>
      <w:hyperlink r:id="rId8">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seal. The diameter of the outside circle shall be approximately 1¾ inches. The seal will include the name of the professional landscape architect and the words “Professional Landscape Architect, State of Iowa.” The professional landscape architect’s Iowa license number will be included. The seal shall substantially conform to the sample shown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legible rubber stamp, an electronic image or other facsimile of the seal may be used.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technical submission to a client or any public agency, hereinafter referred to as the official copy, will contain an information block on its first page or on an attached cover sheet with application of a seal by the professional landscape architect in responsible charge and an information block with application of a seal by each professional consultant contributing to the technical submission. The seal and original signature will be applied only to a final technical submission. Each official copy of a technical submission shall be stapled, bound or otherwise attached together so as to clearly establish the complete extent of the technical submission. Each information block shall display the seal of the individual responsible for that portion of the technical submission. The area of responsibility for each sealing professional will be designated in the area provided in the information block, so that responsibility for the entire technical submission is clearly established by the combination of the stated seal responsibilities. The information block shall substantially conform to the sample shown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1"/>
        <w:gridCol w:w="7679"/>
      </w:tblGrid>
      <w:tr>
        <w:trPr>
          <w:trHeight w:val="2160" w:hRule="atLeast"/>
        </w:trPr>
        <w:tc>
          <w:tcPr>
            <w:tcW w:w="192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center"/>
            </w:pPr>
            <w:r>
              <w:rPr>
                <w:rFonts w:ascii="Times New Roman" w:hAnsi="Times New Roman"/>
                <w:b w:val="false"/>
                <w:i w:val="false"/>
                <w:color w:val="000000"/>
                <w:sz w:val="14"/>
              </w:rPr>
              <w:t>SEAL</w:t>
            </w:r>
          </w:p>
        </w:tc>
        <w:tc>
          <w:tcPr>
            <w:tcW w:w="7679"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I hereby certify that the portion of this technical submission described below was prepared by me or under my direct supervision and responsible charge. I am a duly licensed professional landscape architect under the laws of the state of Iowa.</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Printed or typed name or secure electronic signature</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Signature</w:t>
            </w: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Pages or sheets covered by this seal:</w:t>
            </w:r>
          </w:p>
          <w:p>
            <w:pPr>
              <w:spacing w:before="0" w:after="0" w:line="264"/>
              <w:ind w:left="160"/>
              <w:jc w:val="left"/>
            </w:pPr>
            <w:r>
              <w:rPr>
                <w:rFonts w:ascii="Times New Roman" w:hAnsi="Times New Roman"/>
                <w:b w:val="false"/>
                <w:i w:val="false"/>
                <w:color w:val="000000"/>
                <w:sz w:val="14"/>
              </w:rPr>
              <w:t> </w:t>
            </w:r>
          </w:p>
        </w:tc>
      </w:tr>
      <w:tr>
        <w:trPr>
          <w:trHeight w:val="660" w:hRule="atLeast"/>
        </w:trPr>
        <w:tc>
          <w:tcPr>
            <w:tcW w:w="1921" w:type="dxa"/>
            <w:tcBorders>
              <w:right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License Expires:</w:t>
            </w:r>
          </w:p>
        </w:tc>
        <w:tc>
          <w:tcPr>
            <w:tcW w:w="7679" w:type="dxa"/>
            <w:tcBorders/>
            <w:tcMar>
              <w:top w:w="30" w:type="dxa"/>
              <w:left w:w="30" w:type="dxa"/>
              <w:bottom w:w="15" w:type="dxa"/>
              <w:right w:w="30" w:type="dxa"/>
            </w:tcMar>
            <w:vAlign w:val="top"/>
          </w:tcPr>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p>
          <w:p>
            <w:pPr>
              <w:spacing w:before="0" w:after="0" w:line="264"/>
              <w:ind w:left="16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each information block must be typed or legibly printed in permanent ink or digital signature as defined in or governed by Iowa Code chapter </w:t>
      </w:r>
      <w:hyperlink r:id="rId9">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on each official copy. An electronic signature as defined in or governed by Iowa Code chapter </w:t>
      </w:r>
      <w:hyperlink r:id="rId10">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11">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such as digital signature technology. It is the licensee’s responsibility to ensure, prior to affixing an electronic signature to a landscape architecture document, that security procedures are adequate to (1) verify that the signature is that of a specific person and (2) detect any changes that may be made or attempted after the signature of the specific person is affixed. The seal implies responsibility for the entire technical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It will be the responsibility of the professional landscape architect who signed the original submission to forward copies of all changes and amendments to the technical submission, which shall become a part of the official copy of the technical submission, to the public official charged with the enforcement of the state, county or municipal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is responsible for the custody and proper use of the seal. Improper use of the seal shall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seal appearing on any technical submission will be prima facie evidence that said technical submission was prepared by or under the responsible control of the individual named on that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1084.1(8)</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A professional landscape architect will, when requested, respond to communications from the board within 30 days of the mailing of such communication by certified mail. Failure to respond to such communication may be grounds for disciplinary action against the professional landscape architect.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481—1084.2</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Receipt of complaints. </w:t>
      </w:r>
      <w:r>
        <w:rPr>
          <w:rFonts w:ascii="Times New Roman" w:hAnsi="Times New Roman"/>
          <w:b w:val="false"/>
          <w:i w:val="false"/>
          <w:color w:val="000000"/>
          <w:sz w:val="22"/>
        </w:rPr>
        <w:t>The board will receive and review all complaints that the board reasonably believes indicate that a licensee may have committed an act that is cause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1084.2(1)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Any person may file a complaint with the board charging that a licensee may have committed an act that is in violation of applicable law or rules. The complaint will be written and signed by the complainant and accompanied with substantial evidence indicating when, where, and how the licensee committed the violation. All complaints filed with the board will be privileged and held confidential pursuant to Iowa Code section </w:t>
      </w:r>
      <w:hyperlink r:id="rId1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by all board members, peer review committee members and staff. A person filing a complaint will receive immunities in accordance with Iowa Code section </w:t>
      </w:r>
      <w:hyperlink r:id="rId13">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1084.2(2)</w:t>
      </w:r>
      <w:r>
        <w:rPr>
          <w:rFonts w:ascii="Times New Roman" w:hAnsi="Times New Roman"/>
          <w:b w:val="false"/>
          <w:i w:val="false"/>
          <w:color w:val="000000"/>
          <w:sz w:val="22"/>
        </w:rPr>
        <w:t> </w:t>
      </w:r>
      <w:r>
        <w:rPr>
          <w:rFonts w:ascii="Times New Roman" w:hAnsi="Times New Roman"/>
          <w:b w:val="false"/>
          <w:i/>
          <w:color w:val="000000"/>
          <w:sz w:val="22"/>
        </w:rPr>
        <w:t xml:space="preserve">Board-instigated complaints. </w:t>
      </w:r>
      <w:r>
        <w:rPr>
          <w:rFonts w:ascii="Times New Roman" w:hAnsi="Times New Roman"/>
          <w:b w:val="false"/>
          <w:i w:val="false"/>
          <w:color w:val="000000"/>
          <w:sz w:val="22"/>
        </w:rPr>
        <w:t>Upon presentation of evidence by a board member, the board’s staff, or other state agency, the board may determine that a complaint should be opened and an investigation begun to determine if a licensee may have committed an act that is in violation of applicable law or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481—1084.3</w:t>
      </w:r>
      <w:r>
        <w:rPr>
          <w:rFonts w:ascii="Times New Roman" w:hAnsi="Times New Roman"/>
          <w:b/>
          <w:i w:val="false"/>
          <w:color w:val="000000"/>
          <w:sz w:val="22"/>
        </w:rPr>
        <w:t xml:space="preserve">(544B,17A) </w:t>
      </w:r>
      <w:r>
        <w:rPr>
          <w:rFonts w:ascii="Times New Roman" w:hAnsi="Times New Roman"/>
          <w:b/>
          <w:i w:val="false"/>
          <w:color w:val="000000"/>
          <w:sz w:val="22"/>
        </w:rPr>
        <w:t xml:space="preserve">Peer review committee. </w:t>
      </w:r>
      <w:r>
        <w:rPr>
          <w:rFonts w:ascii="Times New Roman" w:hAnsi="Times New Roman"/>
          <w:b w:val="false"/>
          <w:i w:val="false"/>
          <w:color w:val="000000"/>
          <w:sz w:val="22"/>
        </w:rPr>
        <w:t>At any point during the complaint procedure or the investigatory procedure and prior to determining whether probable cause exists that a violation has occurred, the board may appoint a peer review committee to assist the board in reaching its decision by conducting an investigation(s)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1084.3(1)</w:t>
      </w:r>
      <w:r>
        <w:rPr>
          <w:rFonts w:ascii="Times New Roman" w:hAnsi="Times New Roman"/>
          <w:b w:val="false"/>
          <w:i w:val="false"/>
          <w:color w:val="000000"/>
          <w:sz w:val="22"/>
        </w:rPr>
        <w:t> </w:t>
      </w:r>
      <w:r>
        <w:rPr>
          <w:rFonts w:ascii="Times New Roman" w:hAnsi="Times New Roman"/>
          <w:b w:val="false"/>
          <w:i/>
          <w:color w:val="000000"/>
          <w:sz w:val="22"/>
        </w:rPr>
        <w:t xml:space="preserve">Makeup of the peer review committee. </w:t>
      </w:r>
      <w:r>
        <w:rPr>
          <w:rFonts w:ascii="Times New Roman" w:hAnsi="Times New Roman"/>
          <w:b w:val="false"/>
          <w:i w:val="false"/>
          <w:color w:val="000000"/>
          <w:sz w:val="22"/>
        </w:rPr>
        <w:t>The committee will consist of one or more professional landscape architects who are selected for their knowledge and experience in the particular aspect of landscape architecture involved in the complaint. The following are ineligible for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Close relatives of the alleged violator(s) or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employed by the same firm or governmental unit as the alleged violator or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1084.3(2)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committee’s investigation will be limited to interviewing of complainants, the alleged violator, individuals with knowledge of the alleged violation, and individuals with knowledge of the alleged violator’s reputation in the community. The committee may not hire legal counsel, investigators, secretarial help or any other assistants without written authorization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1084.3(3)</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Committee members may receive per diem compensation equal to that received by board members for performing board duties. Committee members may be paid reasonable and necessary expenses that are incurred for travel, meals and lodging while performing committee duties within a budget limitation established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481—1084.4</w:t>
      </w:r>
      <w:r>
        <w:rPr>
          <w:rFonts w:ascii="Times New Roman" w:hAnsi="Times New Roman"/>
          <w:b/>
          <w:i w:val="false"/>
          <w:color w:val="000000"/>
          <w:sz w:val="22"/>
        </w:rPr>
        <w:t xml:space="preserve">(544B,272C) </w:t>
      </w:r>
      <w:r>
        <w:rPr>
          <w:rFonts w:ascii="Times New Roman" w:hAnsi="Times New Roman"/>
          <w:b/>
          <w:i w:val="false"/>
          <w:color w:val="000000"/>
          <w:sz w:val="22"/>
        </w:rPr>
        <w:t xml:space="preserve">Investigation report of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1084.4(1)</w:t>
      </w:r>
      <w:r>
        <w:rPr>
          <w:rFonts w:ascii="Times New Roman" w:hAnsi="Times New Roman"/>
          <w:b w:val="false"/>
          <w:i w:val="false"/>
          <w:color w:val="000000"/>
          <w:sz w:val="22"/>
        </w:rPr>
        <w:t> </w:t>
      </w:r>
      <w:r>
        <w:rPr>
          <w:rFonts w:ascii="Times New Roman" w:hAnsi="Times New Roman"/>
          <w:b w:val="false"/>
          <w:i/>
          <w:color w:val="000000"/>
          <w:sz w:val="22"/>
        </w:rPr>
        <w:t xml:space="preserve">Board consideration of report to determine further action. </w:t>
      </w:r>
      <w:r>
        <w:rPr>
          <w:rFonts w:ascii="Times New Roman" w:hAnsi="Times New Roman"/>
          <w:b w:val="false"/>
          <w:i w:val="false"/>
          <w:color w:val="000000"/>
          <w:sz w:val="22"/>
        </w:rPr>
        <w:t>Upon completion of the investigation, the investigator(s) will prepare for the board’s consideration a report containing the position or defense of the licensee so the board may determine what further action is necessary. The board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Order that the matter be further investigated.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 the licensee who is the subject of the complaint an opportunity to appear before the designated discipline committee for an informal discussion regarding the circumstances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no probable cause to believe that a violation has occurred and close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1084.4(2)</w:t>
      </w:r>
      <w:r>
        <w:rPr>
          <w:rFonts w:ascii="Times New Roman" w:hAnsi="Times New Roman"/>
          <w:b w:val="false"/>
          <w:i w:val="false"/>
          <w:color w:val="000000"/>
          <w:sz w:val="22"/>
        </w:rPr>
        <w:t> </w:t>
      </w:r>
      <w:r>
        <w:rPr>
          <w:rFonts w:ascii="Times New Roman" w:hAnsi="Times New Roman"/>
          <w:b w:val="false"/>
          <w:i/>
          <w:color w:val="000000"/>
          <w:sz w:val="22"/>
        </w:rPr>
        <w:t xml:space="preserve">Informal discussion.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licensee an opportunity to share the licensee’s account of a complaint in an informal setting before the board determines whether probable cause exists to initiate a disciplinary proceeding. A licensee is not required to attend an informal discussion. Because disciplinary investigations are confidential, the licensee cannot bring other persons to an informal discussion, but licensees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board members or staff who personally investigate a disciplinary complaint are disqualified from making decisions or assisting the decision makers at a later formal hearing. Because board members generally rely upon investigators, peer review committees, or expert consultants to conduct investigations, the issue rarely arises. An informal discussion, however, is a form of investigation because it is conducted in a question-and-answer format. In order to preserve the ability of all board members to participate in board decision making and to receive the advice of staff, a licensee who desires to attend an informal discussion must therefore waive the right to seek disqualification of a board member or staff based solely on the board member’s or staff’s participation in an informal discussion. A licensee would not waive the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481—1084.5</w:t>
      </w:r>
      <w:r>
        <w:rPr>
          <w:rFonts w:ascii="Times New Roman" w:hAnsi="Times New Roman"/>
          <w:b/>
          <w:i w:val="false"/>
          <w:color w:val="000000"/>
          <w:sz w:val="22"/>
        </w:rPr>
        <w:t xml:space="preserve">(544B,272C) </w:t>
      </w:r>
      <w:r>
        <w:rPr>
          <w:rFonts w:ascii="Times New Roman" w:hAnsi="Times New Roman"/>
          <w:b/>
          <w:i w:val="false"/>
          <w:color w:val="000000"/>
          <w:sz w:val="22"/>
        </w:rPr>
        <w:t xml:space="preserve">Dispensation. </w:t>
      </w:r>
      <w:r>
        <w:rPr>
          <w:rFonts w:ascii="Times New Roman" w:hAnsi="Times New Roman"/>
          <w:b w:val="false"/>
          <w:i w:val="false"/>
          <w:color w:val="000000"/>
          <w:sz w:val="22"/>
        </w:rPr>
        <w:t>The board will make findings of fact and conclusions of law and may take one or more of the following actions: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Dismiss the charges.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Revoke the professional landscape architect’s license.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Suspend the professional landscape architect’s license as authorized by law.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Impose civil penalties, the amount of which will be set at the discretion of the board but will not exceed $1,000. Civil penalties may be imposed for any of the disciplinary violations of Iowa Code sections </w:t>
      </w:r>
      <w:hyperlink r:id="rId14">
        <w:r>
          <w:rPr>
            <w:rStyle w:val="Hyperlink"/>
            <w:rFonts w:ascii="Times New Roman" w:hAnsi="Times New Roman"/>
            <w:b w:val="false"/>
            <w:i w:val="false"/>
            <w:color w:val="000000"/>
            <w:sz w:val="22"/>
          </w:rPr>
          <w:t>544B.15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272C.9(3)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these rules or for repeated offenses.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Impose a period of probation, either with or without conditions.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Require reexamination, using one or more parts of the examination given to professional landscape architectural licensee candidates.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Require additional professional education, reeducation, or continuing education.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Issue a citation or warning.</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Issue a consent order.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Accept voluntary surrender of license. Voluntary surrender of a license is considered a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Executive Order 10.</w:t>
      </w:r>
    </w:p>
    <w:p>
      <w:pPr>
        <w:spacing w:before="0" w:after="0"/>
        <w:ind w:left="120"/>
        <w:jc w:val="center"/>
      </w:pPr>
      <w:r>
        <w:rPr>
          <w:rFonts w:ascii="Times New Roman" w:hAnsi="Times New Roman"/>
          <w:b w:val="false"/>
          <w:i w:val="false"/>
          <w:color w:val="000000"/>
          <w:sz w:val="21"/>
        </w:rPr>
        <w:t>[Filed 11/9/78, Notice 10/4/78—published 11/29/78, effective 1/3/79]</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5/19/97, Notice 4/9/97—published 6/18/97, effective 7/23/97]</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ARC 3097C</w:t>
      </w:r>
      <w:r>
        <w:rPr>
          <w:rFonts w:ascii="Times New Roman" w:hAnsi="Times New Roman"/>
          <w:b w:val="false"/>
          <w:i w:val="false"/>
          <w:color w:val="000000"/>
          <w:sz w:val="21"/>
        </w:rPr>
        <w:t xml:space="preserve"> (Notice ARC 2941C, IAB 2/15/17)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9157C</w:t>
      </w:r>
      <w:r>
        <w:rPr>
          <w:rFonts w:ascii="Times New Roman" w:hAnsi="Times New Roman"/>
          <w:b w:val="false"/>
          <w:i w:val="false"/>
          <w:color w:val="000000"/>
          <w:sz w:val="21"/>
        </w:rPr>
        <w:t xml:space="preserve"> (Notice ARC 8769C,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6/10/26]</w:t>
      </w:r>
    </w:p>
    <w:sectPr>
      <w:footerReference r:id="rId2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544B.pdf" Type="http://schemas.openxmlformats.org/officeDocument/2006/relationships/hyperlink" Id="rId6"/>
    <Relationship TargetMode="External" Target="https://www.legis.iowa.gov/docs/ico/chapter/544B.pdf" Type="http://schemas.openxmlformats.org/officeDocument/2006/relationships/hyperlink" Id="rId7"/>
    <Relationship TargetMode="External" Target="https://www.legis.iowa.gov/docs/ico/chapter/544B.12.pdf" Type="http://schemas.openxmlformats.org/officeDocument/2006/relationships/hyperlink" Id="rId8"/>
    <Relationship TargetMode="External" Target="https://www.legis.iowa.gov/docs/ico/chapter/554D.pdf" Type="http://schemas.openxmlformats.org/officeDocument/2006/relationships/hyperlink" Id="rId9"/>
    <Relationship TargetMode="External" Target="https://www.legis.iowa.gov/docs/ico/chapter/554D.pdf" Type="http://schemas.openxmlformats.org/officeDocument/2006/relationships/hyperlink" Id="rId10"/>
    <Relationship TargetMode="External" Target="https://www.legis.iowa.gov/docs/ico/chapter/554D.103.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co/chapter/272C.8.pdf" Type="http://schemas.openxmlformats.org/officeDocument/2006/relationships/hyperlink" Id="rId13"/>
    <Relationship TargetMode="External" Target="https://www.legis.iowa.gov/docs/ico/chapter/544B.15.pdf" Type="http://schemas.openxmlformats.org/officeDocument/2006/relationships/hyperlink" Id="rId14"/>
    <Relationship TargetMode="External" Target="https://www.legis.iowa.gov/docs/ico/chapter/272C.9.pdf" Type="http://schemas.openxmlformats.org/officeDocument/2006/relationships/hyperlink" Id="rId15"/>
    <Relationship TargetMode="External" Target="https://www.legis.iowa.gov/docs/ico/chapter/272C.9.pdf" Type="http://schemas.openxmlformats.org/officeDocument/2006/relationships/hyperlink" Id="rId16"/>
    <Relationship TargetMode="External" Target="https://www.legis.iowa.gov/docs/ico/chapter/272C.10.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544B.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