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1082</w:t>
      </w:r>
    </w:p>
    <w:p>
      <w:pPr>
        <w:spacing w:before="0" w:after="0"/>
        <w:ind w:left="120"/>
        <w:jc w:val="center"/>
      </w:pPr>
      <w:r>
        <w:rPr>
          <w:rFonts w:ascii="Times New Roman" w:hAnsi="Times New Roman"/>
          <w:b w:val="false"/>
          <w:i w:val="false"/>
          <w:color w:val="000000"/>
          <w:sz w:val="21"/>
        </w:rPr>
        <w:t>EXAMINATIONS AND LICENSING</w:t>
      </w:r>
    </w:p>
    <w:p>
      <w:pPr>
        <w:spacing w:before="0" w:after="0"/>
        <w:ind w:left="120"/>
        <w:jc w:val="center"/>
      </w:pPr>
      <w:r>
        <w:rPr>
          <w:rFonts w:ascii="Times New Roman" w:hAnsi="Times New Roman"/>
          <w:b w:val="false"/>
          <w:i w:val="false"/>
          <w:color w:val="000000"/>
          <w:sz w:val="20"/>
        </w:rPr>
        <w:t>[Prior to 3/9/88, see Landscape Architectural Examiners Board[540] Ch 2]</w:t>
      </w:r>
    </w:p>
    <w:p>
      <w:pPr>
        <w:spacing w:before="0" w:after="0"/>
        <w:ind w:left="120"/>
        <w:jc w:val="center"/>
      </w:pPr>
      <w:r>
        <w:rPr>
          <w:rFonts w:ascii="Times New Roman" w:hAnsi="Times New Roman"/>
          <w:b w:val="false"/>
          <w:i w:val="false"/>
          <w:color w:val="000000"/>
          <w:sz w:val="20"/>
        </w:rPr>
        <w:t>[Prior to 6/10/26, see Landscape Architectural Examining Board[193D]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481—1082.1</w:t>
      </w:r>
      <w:r>
        <w:rPr>
          <w:rFonts w:ascii="Times New Roman" w:hAnsi="Times New Roman"/>
          <w:b/>
          <w:i w:val="false"/>
          <w:color w:val="000000"/>
          <w:sz w:val="22"/>
        </w:rPr>
        <w:t xml:space="preserve">(544B,17A) </w:t>
      </w:r>
      <w:r>
        <w:rPr>
          <w:rFonts w:ascii="Times New Roman" w:hAnsi="Times New Roman"/>
          <w:b/>
          <w:i w:val="false"/>
          <w:color w:val="000000"/>
          <w:sz w:val="22"/>
        </w:rPr>
        <w:t xml:space="preserve">Application for licensure by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1082.1(1)</w:t>
      </w:r>
      <w:r>
        <w:rPr>
          <w:rFonts w:ascii="Times New Roman" w:hAnsi="Times New Roman"/>
          <w:b w:val="false"/>
          <w:i w:val="false"/>
          <w:color w:val="000000"/>
          <w:sz w:val="22"/>
        </w:rPr>
        <w:t> </w:t>
      </w:r>
      <w:r>
        <w:rPr>
          <w:rFonts w:ascii="Times New Roman" w:hAnsi="Times New Roman"/>
          <w:b w:val="false"/>
          <w:i w:val="false"/>
          <w:color w:val="000000"/>
          <w:sz w:val="22"/>
        </w:rPr>
        <w:t>Candidates will contact CLARB to start the examination licensure process by creating a council record. A candidate’s council record will include verified history of the candidate’s education, experience, examination and licensure history, and professional references and is used to apply for examination, licensure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1082.1(2)</w:t>
      </w:r>
      <w:r>
        <w:rPr>
          <w:rFonts w:ascii="Times New Roman" w:hAnsi="Times New Roman"/>
          <w:b w:val="false"/>
          <w:i w:val="false"/>
          <w:color w:val="000000"/>
          <w:sz w:val="22"/>
        </w:rPr>
        <w:t> </w:t>
      </w:r>
      <w:r>
        <w:rPr>
          <w:rFonts w:ascii="Times New Roman" w:hAnsi="Times New Roman"/>
          <w:b w:val="false"/>
          <w:i w:val="false"/>
          <w:color w:val="000000"/>
          <w:sz w:val="22"/>
        </w:rPr>
        <w:t>The candidate who successfully completes the LARE will complete an online application for certificate of licensure to the board after meeting one of the requirements listed below and requesting that the candidate’s council record be transmitted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Graduation from a course in landscape architecture in a school, college, or university offering an accredited minimum four-year curriculum in landscape architecture, and a minimum of three years of practical experience in landscape architectural work that in the opinion of the board is of satisfactory character, at least one year of which must be under the supervision of a professional landscape architect or a person who becomes a professional landscape architect within one year after July 1, 2002.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Graduation from a nonaccredited course of landscape architecture of a minimum of four years in a school, college, or university and a minimum of four years of practical experience in landscape architectural work that in the opinion of the board is of satisfactory character, at least one year of which must be under the supervision of a professional landscape architect.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minimum of ten years of practical experience in landscape architectural work that in the opinion of the board is of satisfactory character to properly prepare the applicant for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1082.1(3)</w:t>
      </w:r>
      <w:r>
        <w:rPr>
          <w:rFonts w:ascii="Times New Roman" w:hAnsi="Times New Roman"/>
          <w:b w:val="false"/>
          <w:i w:val="false"/>
          <w:color w:val="000000"/>
          <w:sz w:val="22"/>
        </w:rPr>
        <w:t> </w:t>
      </w:r>
      <w:r>
        <w:rPr>
          <w:rFonts w:ascii="Times New Roman" w:hAnsi="Times New Roman"/>
          <w:b w:val="false"/>
          <w:i w:val="false"/>
          <w:color w:val="000000"/>
          <w:sz w:val="22"/>
        </w:rPr>
        <w:t>A satisfactorily completed year of study in an accredited course of landscape architecture in an accredited school, college, or university may be accepted in lieu of one year of practical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1082.1(4)</w:t>
      </w:r>
      <w:r>
        <w:rPr>
          <w:rFonts w:ascii="Times New Roman" w:hAnsi="Times New Roman"/>
          <w:b w:val="false"/>
          <w:i w:val="false"/>
          <w:color w:val="000000"/>
          <w:sz w:val="22"/>
        </w:rPr>
        <w:t> </w:t>
      </w:r>
      <w:r>
        <w:rPr>
          <w:rFonts w:ascii="Times New Roman" w:hAnsi="Times New Roman"/>
          <w:b w:val="false"/>
          <w:i w:val="false"/>
          <w:color w:val="000000"/>
          <w:sz w:val="22"/>
        </w:rPr>
        <w:t>A master’s degree from an accredited school, college, or university may be accepted in lieu of one year of practical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1082.1(5)</w:t>
      </w:r>
      <w:r>
        <w:rPr>
          <w:rFonts w:ascii="Times New Roman" w:hAnsi="Times New Roman"/>
          <w:b w:val="false"/>
          <w:i w:val="false"/>
          <w:color w:val="000000"/>
          <w:sz w:val="22"/>
        </w:rPr>
        <w:t> </w:t>
      </w:r>
      <w:r>
        <w:rPr>
          <w:rFonts w:ascii="Times New Roman" w:hAnsi="Times New Roman"/>
          <w:b w:val="false"/>
          <w:i w:val="false"/>
          <w:color w:val="000000"/>
          <w:sz w:val="22"/>
        </w:rPr>
        <w:t>Any four-year college or university degree may be accepted in lieu of two years of practical experience.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481—1082.2</w:t>
      </w:r>
      <w:r>
        <w:rPr>
          <w:rFonts w:ascii="Times New Roman" w:hAnsi="Times New Roman"/>
          <w:b/>
          <w:i w:val="false"/>
          <w:color w:val="000000"/>
          <w:sz w:val="22"/>
        </w:rPr>
        <w:t xml:space="preserve">(544B,17A) </w:t>
      </w:r>
      <w:r>
        <w:rPr>
          <w:rFonts w:ascii="Times New Roman" w:hAnsi="Times New Roman"/>
          <w:b/>
          <w:i w:val="false"/>
          <w:color w:val="000000"/>
          <w:sz w:val="22"/>
        </w:rPr>
        <w:t xml:space="preserve">Procedure for processing applications. </w:t>
      </w:r>
      <w:r>
        <w:rPr>
          <w:rFonts w:ascii="Times New Roman" w:hAnsi="Times New Roman"/>
          <w:b w:val="false"/>
          <w:i w:val="false"/>
          <w:color w:val="000000"/>
          <w:sz w:val="22"/>
        </w:rPr>
        <w:t xml:space="preserve">The board executive will determine when the legal requirements for licensure have been satisfied with regard to issuance of certificates, licenses or registrations, and the board executive will submit to the board any questionable application. An applicant’s personal appearance before the board, if required, will be at the time and place designated by the board. Failure to supply additional evidence or information within 30 days from the date of the written request from the board, or failure to appear before the board when an appearance is requested, may be considered cause for disapproval of the application. Unless otherwise provided by law, a request for a rehearing before the board will be filed with the board in accordance with rule </w:t>
      </w:r>
      <w:hyperlink r:id="rId5">
        <w:r>
          <w:rPr>
            <w:rStyle w:val="Hyperlink"/>
            <w:rFonts w:ascii="Times New Roman" w:hAnsi="Times New Roman"/>
            <w:b w:val="false"/>
            <w:i w:val="false"/>
            <w:color w:val="000000"/>
            <w:sz w:val="22"/>
          </w:rPr>
          <w:t>481—506.26</w:t>
        </w:r>
      </w:hyperlink>
      <w:r>
        <w:rPr>
          <w:rFonts w:ascii="Times New Roman" w:hAnsi="Times New Roman"/>
          <w:b w:val="false"/>
          <w:i w:val="false"/>
          <w:color w:val="000000"/>
          <w:sz w:val="22"/>
        </w:rPr>
        <w:t xml:space="preserve">(17A). A judicial review can be filed in accordance with Iowa Code section </w:t>
      </w:r>
      <w:hyperlink r:id="rId6">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481—1082.3</w:t>
      </w:r>
      <w:r>
        <w:rPr>
          <w:rFonts w:ascii="Times New Roman" w:hAnsi="Times New Roman"/>
          <w:b/>
          <w:i w:val="false"/>
          <w:color w:val="000000"/>
          <w:sz w:val="22"/>
        </w:rPr>
        <w:t xml:space="preserve">(544B,17A) </w:t>
      </w:r>
      <w:r>
        <w:rPr>
          <w:rFonts w:ascii="Times New Roman" w:hAnsi="Times New Roman"/>
          <w:b/>
          <w:i w:val="false"/>
          <w:color w:val="000000"/>
          <w:sz w:val="22"/>
        </w:rPr>
        <w:t xml:space="preserve">Registration of applicants. </w:t>
      </w:r>
      <w:r>
        <w:rPr>
          <w:rFonts w:ascii="Times New Roman" w:hAnsi="Times New Roman"/>
          <w:b w:val="false"/>
          <w:i w:val="false"/>
          <w:color w:val="000000"/>
          <w:sz w:val="22"/>
        </w:rPr>
        <w:t xml:space="preserve">Applicants must meet the requirements of Iowa Code section </w:t>
      </w:r>
      <w:hyperlink r:id="rId7">
        <w:r>
          <w:rPr>
            <w:rStyle w:val="Hyperlink"/>
            <w:rFonts w:ascii="Times New Roman" w:hAnsi="Times New Roman"/>
            <w:b w:val="false"/>
            <w:i w:val="false"/>
            <w:color w:val="000000"/>
            <w:sz w:val="22"/>
          </w:rPr>
          <w:t>544B.9</w:t>
        </w:r>
      </w:hyperlink>
      <w:r>
        <w:rPr>
          <w:rFonts w:ascii="Times New Roman" w:hAnsi="Times New Roman"/>
          <w:b w:val="false"/>
          <w:i w:val="false"/>
          <w:color w:val="000000"/>
          <w:sz w:val="22"/>
        </w:rPr>
        <w:t xml:space="preserve"> for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481—1082.4</w:t>
      </w:r>
      <w:r>
        <w:rPr>
          <w:rFonts w:ascii="Times New Roman" w:hAnsi="Times New Roman"/>
          <w:b/>
          <w:i w:val="false"/>
          <w:color w:val="000000"/>
          <w:sz w:val="22"/>
        </w:rPr>
        <w:t xml:space="preserve">(544B,17A) </w:t>
      </w:r>
      <w:r>
        <w:rPr>
          <w:rFonts w:ascii="Times New Roman" w:hAnsi="Times New Roman"/>
          <w:b/>
          <w:i w:val="false"/>
          <w:color w:val="000000"/>
          <w:sz w:val="22"/>
        </w:rPr>
        <w:t xml:space="preserve">Written examination. </w:t>
      </w:r>
      <w:r>
        <w:rPr>
          <w:rFonts w:ascii="Times New Roman" w:hAnsi="Times New Roman"/>
          <w:b w:val="false"/>
          <w:i w:val="false"/>
          <w:color w:val="000000"/>
          <w:sz w:val="22"/>
        </w:rPr>
        <w:t>The written examination will consist of the professional landscape architectural licensure examination published by CLARB and may include supplementary questions developed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481—1082.5</w:t>
      </w:r>
      <w:r>
        <w:rPr>
          <w:rFonts w:ascii="Times New Roman" w:hAnsi="Times New Roman"/>
          <w:b/>
          <w:i w:val="false"/>
          <w:color w:val="000000"/>
          <w:sz w:val="22"/>
        </w:rPr>
        <w:t xml:space="preserve">(544B,17A) </w:t>
      </w:r>
      <w:r>
        <w:rPr>
          <w:rFonts w:ascii="Times New Roman" w:hAnsi="Times New Roman"/>
          <w:b/>
          <w:i w:val="false"/>
          <w:color w:val="000000"/>
          <w:sz w:val="22"/>
        </w:rPr>
        <w:t xml:space="preserve">Exemption from written examination. </w:t>
      </w:r>
      <w:r>
        <w:rPr>
          <w:rFonts w:ascii="Times New Roman" w:hAnsi="Times New Roman"/>
          <w:b w:val="false"/>
          <w:i w:val="false"/>
          <w:color w:val="000000"/>
          <w:sz w:val="22"/>
        </w:rPr>
        <w:t>The board may exempt from written examination an applicant who meets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1082.5(1)</w:t>
      </w:r>
      <w:r>
        <w:rPr>
          <w:rFonts w:ascii="Times New Roman" w:hAnsi="Times New Roman"/>
          <w:b w:val="false"/>
          <w:i w:val="false"/>
          <w:color w:val="000000"/>
          <w:sz w:val="22"/>
        </w:rPr>
        <w:t> </w:t>
      </w:r>
      <w:r>
        <w:rPr>
          <w:rFonts w:ascii="Times New Roman" w:hAnsi="Times New Roman"/>
          <w:b w:val="false"/>
          <w:i w:val="false"/>
          <w:color w:val="000000"/>
          <w:sz w:val="22"/>
        </w:rPr>
        <w:t>The applicant holds a current CLARB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1082.5(2)</w:t>
      </w:r>
      <w:r>
        <w:rPr>
          <w:rFonts w:ascii="Times New Roman" w:hAnsi="Times New Roman"/>
          <w:b w:val="false"/>
          <w:i w:val="false"/>
          <w:color w:val="000000"/>
          <w:sz w:val="22"/>
        </w:rPr>
        <w:t> </w:t>
      </w:r>
      <w:r>
        <w:rPr>
          <w:rFonts w:ascii="Times New Roman" w:hAnsi="Times New Roman"/>
          <w:b w:val="false"/>
          <w:i w:val="false"/>
          <w:color w:val="000000"/>
          <w:sz w:val="22"/>
        </w:rPr>
        <w:t>The applicant holds a license to practice landscape architecture issued upon written examination by another jurisdiction and has submitted a certificate from the jurisdiction of original licensure verifying that the applicant passed the examination in that jurisdiction;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1082.5(3)</w:t>
      </w:r>
      <w:r>
        <w:rPr>
          <w:rFonts w:ascii="Times New Roman" w:hAnsi="Times New Roman"/>
          <w:b w:val="false"/>
          <w:i w:val="false"/>
          <w:color w:val="000000"/>
          <w:sz w:val="22"/>
        </w:rPr>
        <w:t> </w:t>
      </w:r>
      <w:r>
        <w:rPr>
          <w:rFonts w:ascii="Times New Roman" w:hAnsi="Times New Roman"/>
          <w:b w:val="false"/>
          <w:i w:val="false"/>
          <w:color w:val="000000"/>
          <w:sz w:val="22"/>
        </w:rPr>
        <w:t>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Holds an active license to practice landscape architecture issued by another jurisdiction whose current licensure requirements, including the examination requirements, are substantially equivalent to or exceed those required for licensure as a landscape architect in Iowa, and during the time period in which the applicant was issued an initial license in the other jurisdiction, that jurisdiction did not require a written examination for initial applicants but did require board review and approval of education and experience designed to demonstrate competence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Was grandfathered in under the laws of the other jurisdiction before written examinations for initial licensure were mandated by the other jurisdiction;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Submits a certificate from the jurisdiction of original licensure verifying that the applicant was licensed during the period in which there was no written examination and submits proof of license in good standing.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481—1082.6</w:t>
      </w:r>
      <w:r>
        <w:rPr>
          <w:rFonts w:ascii="Times New Roman" w:hAnsi="Times New Roman"/>
          <w:b/>
          <w:i w:val="false"/>
          <w:color w:val="000000"/>
          <w:sz w:val="22"/>
        </w:rPr>
        <w:t xml:space="preserve">(544B,17A) </w:t>
      </w:r>
      <w:r>
        <w:rPr>
          <w:rFonts w:ascii="Times New Roman" w:hAnsi="Times New Roman"/>
          <w:b/>
          <w:i w:val="false"/>
          <w:color w:val="000000"/>
          <w:sz w:val="22"/>
        </w:rPr>
        <w:t xml:space="preserve">Certificate of licensure. </w:t>
      </w:r>
      <w:r>
        <w:rPr>
          <w:rFonts w:ascii="Times New Roman" w:hAnsi="Times New Roman"/>
          <w:b w:val="false"/>
          <w:i w:val="false"/>
          <w:color w:val="000000"/>
          <w:sz w:val="22"/>
        </w:rPr>
        <w:t>When an applicant has qualified for licensure under this chapter and has paid the required license fee, board staff will enroll the applicant’s name in the roster of professional landscape architects and issue to the applicant a certificate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1082.6(1)</w:t>
      </w:r>
      <w:r>
        <w:rPr>
          <w:rFonts w:ascii="Times New Roman" w:hAnsi="Times New Roman"/>
          <w:b w:val="false"/>
          <w:i w:val="false"/>
          <w:color w:val="000000"/>
          <w:sz w:val="22"/>
        </w:rPr>
        <w:t> </w:t>
      </w:r>
      <w:r>
        <w:rPr>
          <w:rFonts w:ascii="Times New Roman" w:hAnsi="Times New Roman"/>
          <w:b w:val="false"/>
          <w:i/>
          <w:color w:val="000000"/>
          <w:sz w:val="22"/>
        </w:rPr>
        <w:t xml:space="preserve">License number. </w:t>
      </w:r>
      <w:r>
        <w:rPr>
          <w:rFonts w:ascii="Times New Roman" w:hAnsi="Times New Roman"/>
          <w:b w:val="false"/>
          <w:i w:val="false"/>
          <w:color w:val="000000"/>
          <w:sz w:val="22"/>
        </w:rPr>
        <w:t>The certificate will indicate the license number of the landscape architect that must appear on the professional landscape architect’s seal and on all works signed by the professional landscape architect.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1082.6(2)</w:t>
      </w: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Only one certificate of licensure will be issued to a professional landscape architect. The certificate will be displayed in a conspicuous place at the place of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481—1082.7</w:t>
      </w:r>
      <w:r>
        <w:rPr>
          <w:rFonts w:ascii="Times New Roman" w:hAnsi="Times New Roman"/>
          <w:b/>
          <w:i w:val="false"/>
          <w:color w:val="000000"/>
          <w:sz w:val="22"/>
        </w:rPr>
        <w:t xml:space="preserve">(17A,272C,544B) </w:t>
      </w:r>
      <w:r>
        <w:rPr>
          <w:rFonts w:ascii="Times New Roman" w:hAnsi="Times New Roman"/>
          <w:b/>
          <w:i w:val="false"/>
          <w:color w:val="000000"/>
          <w:sz w:val="22"/>
        </w:rPr>
        <w:t xml:space="preserve">Renewal of certificates of licensure. </w:t>
      </w:r>
      <w:r>
        <w:rPr>
          <w:rFonts w:ascii="Times New Roman" w:hAnsi="Times New Roman"/>
          <w:b w:val="false"/>
          <w:i w:val="false"/>
          <w:color w:val="000000"/>
          <w:sz w:val="22"/>
        </w:rPr>
        <w:t xml:space="preserve">Certificates of licensure expire biennially on June 30. In order to maintain authorization to practice in Iowa, a licensee is required to renew the certificate of licensure prior to July 1 of the year of expiration. A licensee who fails to renew by the expiration date is not authorized to practice landscape architecture in Iowa until the certificate is reinstated as provided in rule </w:t>
      </w:r>
      <w:hyperlink r:id="rId8">
        <w:r>
          <w:rPr>
            <w:rStyle w:val="Hyperlink"/>
            <w:rFonts w:ascii="Times New Roman" w:hAnsi="Times New Roman"/>
            <w:b w:val="false"/>
            <w:i w:val="false"/>
            <w:color w:val="000000"/>
            <w:sz w:val="22"/>
          </w:rPr>
          <w:t>481—1082.8</w:t>
        </w:r>
      </w:hyperlink>
      <w:r>
        <w:rPr>
          <w:rFonts w:ascii="Times New Roman" w:hAnsi="Times New Roman"/>
          <w:b w:val="false"/>
          <w:i w:val="false"/>
          <w:color w:val="000000"/>
          <w:sz w:val="22"/>
        </w:rPr>
        <w:t>(544B,17A).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1082.7(1)</w:t>
      </w:r>
      <w:r>
        <w:rPr>
          <w:rFonts w:ascii="Times New Roman" w:hAnsi="Times New Roman"/>
          <w:b w:val="false"/>
          <w:i w:val="false"/>
          <w:color w:val="000000"/>
          <w:sz w:val="22"/>
        </w:rPr>
        <w:t> </w:t>
      </w:r>
      <w:r>
        <w:rPr>
          <w:rFonts w:ascii="Times New Roman" w:hAnsi="Times New Roman"/>
          <w:b w:val="false"/>
          <w:i w:val="false"/>
          <w:color w:val="000000"/>
          <w:sz w:val="22"/>
        </w:rPr>
        <w:t>It is the policy of the board to email to each licensee a notice of the pending expiration date at the licensee’s last-known address approximately one month prior to the date the certificate of licensure is scheduled to expire. Failure to receive this notice does not relieve the licensee of the responsibility to timely renew the certificate and pay the renewal fee. A licensee should contact the board office if the licensee does not receive a renewal notice prior to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1082.7(2)</w:t>
      </w:r>
      <w:r>
        <w:rPr>
          <w:rFonts w:ascii="Times New Roman" w:hAnsi="Times New Roman"/>
          <w:b w:val="false"/>
          <w:i w:val="false"/>
          <w:color w:val="000000"/>
          <w:sz w:val="22"/>
        </w:rPr>
        <w:t> </w:t>
      </w:r>
      <w:r>
        <w:rPr>
          <w:rFonts w:ascii="Times New Roman" w:hAnsi="Times New Roman"/>
          <w:b w:val="false"/>
          <w:i w:val="false"/>
          <w:color w:val="000000"/>
          <w:sz w:val="22"/>
        </w:rPr>
        <w:t xml:space="preserve">If grounds exist to deny a timely and sufficient application to renew, the board will send notification to the applicant. Grounds may exist to deny an application to renew if, for instance, the licensee failed to satisfy the continuing education as required as a condition for licensure. If the basis for denial is pending disciplinary action or disciplinary investigation that is reasonably expected to culminate in disciplinary action, the board will proceed as provided in </w:t>
      </w:r>
      <w:hyperlink r:id="rId9">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If the basis for denial is not related to a pending or imminent disciplinary action, the applicant may contest the board’s decision as provided in rule </w:t>
      </w:r>
      <w:hyperlink r:id="rId10">
        <w:r>
          <w:rPr>
            <w:rStyle w:val="Hyperlink"/>
            <w:rFonts w:ascii="Times New Roman" w:hAnsi="Times New Roman"/>
            <w:b w:val="false"/>
            <w:i w:val="false"/>
            <w:color w:val="000000"/>
            <w:sz w:val="22"/>
          </w:rPr>
          <w:t>481—506.33</w:t>
        </w:r>
      </w:hyperlink>
      <w:r>
        <w:rPr>
          <w:rFonts w:ascii="Times New Roman" w:hAnsi="Times New Roman"/>
          <w:b w:val="false"/>
          <w:i w:val="false"/>
          <w:color w:val="000000"/>
          <w:sz w:val="22"/>
        </w:rPr>
        <w:t>(17A,272C).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1082.7(3)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licensee appears to be in violation of mandatory continuing education requirements, and after or in lieu of giving the licensee an opportunity to come into compliance under </w:t>
      </w:r>
      <w:hyperlink r:id="rId11">
        <w:r>
          <w:rPr>
            <w:rStyle w:val="Hyperlink"/>
            <w:rFonts w:ascii="Times New Roman" w:hAnsi="Times New Roman"/>
            <w:b w:val="false"/>
            <w:i w:val="false"/>
            <w:color w:val="000000"/>
            <w:sz w:val="22"/>
          </w:rPr>
          <w:t>481—subrule 1083.3(3)</w:t>
        </w:r>
      </w:hyperlink>
      <w:r>
        <w:rPr>
          <w:rFonts w:ascii="Times New Roman" w:hAnsi="Times New Roman"/>
          <w:b w:val="false"/>
          <w:i w:val="false"/>
          <w:color w:val="000000"/>
          <w:sz w:val="22"/>
        </w:rPr>
        <w:t xml:space="preserve">, the board may, in lieu of proceeding to a contested case hearing on the denial of a renewal application as provided in rule </w:t>
      </w:r>
      <w:hyperlink r:id="rId12">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offer the licensee the opportunity to sign a consent order. While the terms of the consent order will be tailored to the specific circumstances at issue, the consent order will typically impose a penalty between $50 and $250, depending on the severity of the violation; establish deadlines for compliance; and require that the licensee complete hours equal to double the deficiency in addition to the required hours; and may impose additional educational requirements on the licensee. Any additional hours completed in compliance with the consent order cannot again be claimed at the next renewal. The board will address subsequent offenses on a case-by-case basis. A licensee is free to accept or reject the offer. If the offer of settlement is accepted, the licensee will be issued a renewed certificate of licensure and will be subject to disciplinary action if the terms of the consent order are not complied with. If the offer of settlement is rejected, the matter will be set for hearing, if timely requested by the licensee pursuant to </w:t>
      </w:r>
      <w:hyperlink r:id="rId13">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1082.7(4)</w:t>
      </w:r>
      <w:r>
        <w:rPr>
          <w:rFonts w:ascii="Times New Roman" w:hAnsi="Times New Roman"/>
          <w:b w:val="false"/>
          <w:i w:val="false"/>
          <w:color w:val="000000"/>
          <w:sz w:val="22"/>
        </w:rPr>
        <w:t> </w:t>
      </w:r>
      <w:r>
        <w:rPr>
          <w:rFonts w:ascii="Times New Roman" w:hAnsi="Times New Roman"/>
          <w:b w:val="false"/>
          <w:i w:val="false"/>
          <w:color w:val="000000"/>
          <w:sz w:val="22"/>
        </w:rPr>
        <w:t>The board may notify licensees whose certificates of licensure have expired. The failure of the board to provide this courtesy notification or the failure of the licensee to receive the notification will not extend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1082.7(5)</w:t>
      </w:r>
      <w:r>
        <w:rPr>
          <w:rFonts w:ascii="Times New Roman" w:hAnsi="Times New Roman"/>
          <w:b w:val="false"/>
          <w:i w:val="false"/>
          <w:color w:val="000000"/>
          <w:sz w:val="22"/>
        </w:rPr>
        <w:t> </w:t>
      </w:r>
      <w:r>
        <w:rPr>
          <w:rFonts w:ascii="Times New Roman" w:hAnsi="Times New Roman"/>
          <w:b w:val="false"/>
          <w:i w:val="false"/>
          <w:color w:val="000000"/>
          <w:sz w:val="22"/>
        </w:rPr>
        <w:t>A licensee who continues to practice landscape architecture in Iowa after licensure has expired will be subject to disciplinary action. Such unauthorized activity may also be grounds to deny a licensee’s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1082.7(6)</w:t>
      </w:r>
      <w:r>
        <w:rPr>
          <w:rFonts w:ascii="Times New Roman" w:hAnsi="Times New Roman"/>
          <w:b w:val="false"/>
          <w:i w:val="false"/>
          <w:color w:val="000000"/>
          <w:sz w:val="22"/>
        </w:rPr>
        <w:t> </w:t>
      </w:r>
      <w:r>
        <w:rPr>
          <w:rFonts w:ascii="Times New Roman" w:hAnsi="Times New Roman"/>
          <w:b w:val="false"/>
          <w:i w:val="false"/>
          <w:color w:val="000000"/>
          <w:sz w:val="22"/>
        </w:rPr>
        <w:t>Licensees will notify the board within 30 days of any change of address or business 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1082.7(7)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status. This subrule establishes a procedure under which a person issued a certificate of licensure as a landscape architect may apply to the board to register as inactive. Licensure under this subrule is available to a licensee residing within or outside the state of Iowa who is not using the title “landscape architect” while offering services as a landscape architect. A person eligible to register as inactive may, as an alternative to licensure, allow the certificate of licensure to lapse. During any period of inactive status, a person will not engage in the practice of landscape architecture while using the title “landscape architect” or any other title that might imply that the person is offering services as a landscape architect in violation of Iowa Code section </w:t>
      </w:r>
      <w:hyperlink r:id="rId14">
        <w:r>
          <w:rPr>
            <w:rStyle w:val="Hyperlink"/>
            <w:rFonts w:ascii="Times New Roman" w:hAnsi="Times New Roman"/>
            <w:b w:val="false"/>
            <w:i w:val="false"/>
            <w:color w:val="000000"/>
            <w:sz w:val="22"/>
          </w:rPr>
          <w:t>544B.18</w:t>
        </w:r>
      </w:hyperlink>
      <w:r>
        <w:rPr>
          <w:rFonts w:ascii="Times New Roman" w:hAnsi="Times New Roman"/>
          <w:b w:val="false"/>
          <w:i w:val="false"/>
          <w:color w:val="000000"/>
          <w:sz w:val="22"/>
        </w:rPr>
        <w:t>. The board will continue to maintain a database of persons licensed as inactive, including information that is not routinely maintained after a certificate of licensure has lapsed through the person’s failure to renew. A person who registers as inactive will accordingly receive a renewal notice if the notice is sent by the board, board newsletters, and other mass communications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Affirmation. </w:t>
      </w:r>
      <w:r>
        <w:rPr>
          <w:rFonts w:ascii="Times New Roman" w:hAnsi="Times New Roman"/>
          <w:b w:val="false"/>
          <w:i w:val="false"/>
          <w:color w:val="000000"/>
          <w:sz w:val="22"/>
        </w:rPr>
        <w:t xml:space="preserve">The renewal application will contain a statement in which the applicant affirms that the applicant will not engage in the practice of landscape architecture while using the title “landscape architect” in violation of Iowa Code section </w:t>
      </w:r>
      <w:hyperlink r:id="rId15">
        <w:r>
          <w:rPr>
            <w:rStyle w:val="Hyperlink"/>
            <w:rFonts w:ascii="Times New Roman" w:hAnsi="Times New Roman"/>
            <w:b w:val="false"/>
            <w:i w:val="false"/>
            <w:color w:val="000000"/>
            <w:sz w:val="22"/>
          </w:rPr>
          <w:t>544B.18</w:t>
        </w:r>
      </w:hyperlink>
      <w:r>
        <w:rPr>
          <w:rFonts w:ascii="Times New Roman" w:hAnsi="Times New Roman"/>
          <w:b w:val="false"/>
          <w:i w:val="false"/>
          <w:color w:val="000000"/>
          <w:sz w:val="22"/>
        </w:rPr>
        <w:t xml:space="preserve">, without first complying with all rules governing reinstatement to active status. A person on inactive status may reinstate to active status at any time pursuant to rule </w:t>
      </w:r>
      <w:hyperlink r:id="rId16">
        <w:r>
          <w:rPr>
            <w:rStyle w:val="Hyperlink"/>
            <w:rFonts w:ascii="Times New Roman" w:hAnsi="Times New Roman"/>
            <w:b w:val="false"/>
            <w:i w:val="false"/>
            <w:color w:val="000000"/>
            <w:sz w:val="22"/>
          </w:rPr>
          <w:t>481—1082.8</w:t>
        </w:r>
      </w:hyperlink>
      <w:r>
        <w:rPr>
          <w:rFonts w:ascii="Times New Roman" w:hAnsi="Times New Roman"/>
          <w:b w:val="false"/>
          <w:i w:val="false"/>
          <w:color w:val="000000"/>
          <w:sz w:val="22"/>
        </w:rPr>
        <w:t>(544B,17A).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A person licensed as inactive may renew the person’s certificate of licensure on the biennial schedule described in this rule. This person will be exempt from the continuing education requirements and will be charged a reduced renewal fee as provided in rule </w:t>
      </w:r>
      <w:hyperlink r:id="rId17">
        <w:r>
          <w:rPr>
            <w:rStyle w:val="Hyperlink"/>
            <w:rFonts w:ascii="Times New Roman" w:hAnsi="Times New Roman"/>
            <w:b w:val="false"/>
            <w:i w:val="false"/>
            <w:color w:val="000000"/>
            <w:sz w:val="22"/>
          </w:rPr>
          <w:t>481—1082.10</w:t>
        </w:r>
      </w:hyperlink>
      <w:r>
        <w:rPr>
          <w:rFonts w:ascii="Times New Roman" w:hAnsi="Times New Roman"/>
          <w:b w:val="false"/>
          <w:i w:val="false"/>
          <w:color w:val="000000"/>
          <w:sz w:val="22"/>
        </w:rPr>
        <w:t>(544B,17A). An inactive certificate of licensure will lapse if not timely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Permitted practices. </w:t>
      </w:r>
      <w:r>
        <w:rPr>
          <w:rFonts w:ascii="Times New Roman" w:hAnsi="Times New Roman"/>
          <w:b w:val="false"/>
          <w:i w:val="false"/>
          <w:color w:val="000000"/>
          <w:sz w:val="22"/>
        </w:rPr>
        <w:t xml:space="preserve">A person may, while licensed as inactive, perform for a client, business, employer, government body, or other entity those services that may lawfully be provided by a person to whom a certificate of licensure has never been issued. For an “inactive” licensee, such services may be performed as long as the person does not in connection with such services use the title “landscape architect” or any other title restricted for use only by landscape architects pursuant to Iowa Code section </w:t>
      </w:r>
      <w:hyperlink r:id="rId18">
        <w:r>
          <w:rPr>
            <w:rStyle w:val="Hyperlink"/>
            <w:rFonts w:ascii="Times New Roman" w:hAnsi="Times New Roman"/>
            <w:b w:val="false"/>
            <w:i w:val="false"/>
            <w:color w:val="000000"/>
            <w:sz w:val="22"/>
          </w:rPr>
          <w:t>544B.18</w:t>
        </w:r>
      </w:hyperlink>
      <w:r>
        <w:rPr>
          <w:rFonts w:ascii="Times New Roman" w:hAnsi="Times New Roman"/>
          <w:b w:val="false"/>
          <w:i w:val="false"/>
          <w:color w:val="000000"/>
          <w:sz w:val="22"/>
        </w:rPr>
        <w:t xml:space="preserve"> (with or without additional designations such as “inactive”). Restricted titles may be used only by active landscape architects who are subject to continuing education requirements to ensure that the use of such titles is consistently associated with the maintenance of competency through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Prohibited practices. </w:t>
      </w:r>
      <w:r>
        <w:rPr>
          <w:rFonts w:ascii="Times New Roman" w:hAnsi="Times New Roman"/>
          <w:b w:val="false"/>
          <w:i w:val="false"/>
          <w:color w:val="000000"/>
          <w:sz w:val="22"/>
        </w:rPr>
        <w:t xml:space="preserve">A person who, while licensed as inactive, engages in any of the practices described in Iowa Code section </w:t>
      </w:r>
      <w:hyperlink r:id="rId19">
        <w:r>
          <w:rPr>
            <w:rStyle w:val="Hyperlink"/>
            <w:rFonts w:ascii="Times New Roman" w:hAnsi="Times New Roman"/>
            <w:b w:val="false"/>
            <w:i w:val="false"/>
            <w:color w:val="000000"/>
            <w:sz w:val="22"/>
          </w:rPr>
          <w:t>544B.18</w:t>
        </w:r>
      </w:hyperlink>
      <w:r>
        <w:rPr>
          <w:rFonts w:ascii="Times New Roman" w:hAnsi="Times New Roman"/>
          <w:b w:val="false"/>
          <w:i w:val="false"/>
          <w:color w:val="000000"/>
          <w:sz w:val="22"/>
        </w:rPr>
        <w:t xml:space="preserve"> is subject to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481—1082.8</w:t>
      </w:r>
      <w:r>
        <w:rPr>
          <w:rFonts w:ascii="Times New Roman" w:hAnsi="Times New Roman"/>
          <w:b/>
          <w:i w:val="false"/>
          <w:color w:val="000000"/>
          <w:sz w:val="22"/>
        </w:rPr>
        <w:t xml:space="preserve">(544B,17A)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1082.8(1)</w:t>
      </w:r>
      <w:r>
        <w:rPr>
          <w:rFonts w:ascii="Times New Roman" w:hAnsi="Times New Roman"/>
          <w:b w:val="false"/>
          <w:i w:val="false"/>
          <w:color w:val="000000"/>
          <w:sz w:val="22"/>
        </w:rPr>
        <w:t> </w:t>
      </w:r>
      <w:r>
        <w:rPr>
          <w:rFonts w:ascii="Times New Roman" w:hAnsi="Times New Roman"/>
          <w:b w:val="false"/>
          <w:i w:val="false"/>
          <w:color w:val="000000"/>
          <w:sz w:val="22"/>
        </w:rPr>
        <w:t>An individual may reinstate a lapsed certificate of licensure to active status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 the current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 the reinstatement fee of $100 plus $25 per month or partial month of expired licensure up to a maximum of $750. All applicants for reinstatement shall be assessed the $100 reinstatement fee. The $25-per-month fee shall not be assessed if the applicant for reinstatement did not, during the period of lapse, engage in any acts or practices for which an active landscape architect license is required in Iowa. Falsely claiming an exemption from the monthly fee is a ground for discipline; in addition, other grounds for discipline may arise from practicing on a lapsed certificate, license or permit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a written statement outlining the professional activities that the applicant performed in Iowa during the period of nonlicensure. The statement shall include a list of all projects with which the applicant had involvement and shall explain the service provided by the applicant;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documented evidence of completion of continuing education based on the licensee’s date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who holds a license in Iowa for less than 12 months from the date of initial licensure will not be required to report continuing education on the June 30 renewal on which the applicant failed to renew and 12 continuing education hours for each year or portion of a year of expired licensure up to a maximum of 48 continuing education hours; however, the hours reported will not have been earned more than four years prior to the date of the application to reinstate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who holds a license in Iowa for more than 12 months, but less than 24 months from the date of initial licensure, will be required to report 12 contact hours that should have been reported on the June 30 renewal on which the applicant failed to renew and 12 continuing education hours for each year or portion of a year of expired licensure up to a maximum of 48 continuing education hours; however, the hours reported will not have been earned more than four years prior to the date of the application to reinstate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who holds a license in Iowa for 24 months or more from the date of initial licensure will be required to report 24 contact hours that should have been reported on the June 30 renewal on which the applicant failed to renew and 12 continuing education hours for each year or portion of a year of expired licensure up to a maximum of 48 continuing education hours; however, the hours reported shall not have been earned more than four years prior to the date of the application to reinstate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continuing education hours must be completed in health, safety, and welfare subjects acquired in structured educational activities and be in compliance with the requirements in </w:t>
      </w:r>
      <w:hyperlink r:id="rId20">
        <w:r>
          <w:rPr>
            <w:rStyle w:val="Hyperlink"/>
            <w:rFonts w:ascii="Times New Roman" w:hAnsi="Times New Roman"/>
            <w:b w:val="false"/>
            <w:i w:val="false"/>
            <w:color w:val="000000"/>
            <w:sz w:val="22"/>
          </w:rPr>
          <w:t>481—Chapter 1083</w:t>
        </w:r>
      </w:hyperlink>
      <w:r>
        <w:rPr>
          <w:rFonts w:ascii="Times New Roman" w:hAnsi="Times New Roman"/>
          <w:b w:val="false"/>
          <w:i w:val="false"/>
          <w:color w:val="000000"/>
          <w:sz w:val="22"/>
        </w:rPr>
        <w:t>. The continuing education hours used for reinstatement may not be used again at the next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Out-of-state residents may submit a statement from their resident state’s licensing board as documented evidence of compliance with their resident state’s mandatory continuing education requirements during the period of nonlicensure. The statement will bear the seal of the licensing board. Out-of-state residents whose resident state has no mandatory continuing education will comply with the documented evidence requirements outlined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1082.8(2)</w:t>
      </w:r>
      <w:r>
        <w:rPr>
          <w:rFonts w:ascii="Times New Roman" w:hAnsi="Times New Roman"/>
          <w:b w:val="false"/>
          <w:i w:val="false"/>
          <w:color w:val="000000"/>
          <w:sz w:val="22"/>
        </w:rPr>
        <w:t> </w:t>
      </w:r>
      <w:r>
        <w:rPr>
          <w:rFonts w:ascii="Times New Roman" w:hAnsi="Times New Roman"/>
          <w:b w:val="false"/>
          <w:i w:val="false"/>
          <w:color w:val="000000"/>
          <w:sz w:val="22"/>
        </w:rPr>
        <w:t>An individual may reinstate an inactive license to an active license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will pay the current active licensure fee. If the individual is reinstating to active status at a date that is less than 12 months from the next biennial renewal date, one-half of the current active licensure fee will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will submit documented evidence of completion of 24 contact hours of continuing education in health, safety, and welfare subjects in compliance with the requirements in </w:t>
      </w:r>
      <w:hyperlink r:id="rId21">
        <w:r>
          <w:rPr>
            <w:rStyle w:val="Hyperlink"/>
            <w:rFonts w:ascii="Times New Roman" w:hAnsi="Times New Roman"/>
            <w:b w:val="false"/>
            <w:i w:val="false"/>
            <w:color w:val="000000"/>
            <w:sz w:val="22"/>
          </w:rPr>
          <w:t>481—Chapter 1083</w:t>
        </w:r>
      </w:hyperlink>
      <w:r>
        <w:rPr>
          <w:rFonts w:ascii="Times New Roman" w:hAnsi="Times New Roman"/>
          <w:b w:val="false"/>
          <w:i w:val="false"/>
          <w:color w:val="000000"/>
          <w:sz w:val="22"/>
        </w:rPr>
        <w:t>. The continuing education hours used for reinstatement to active status cannot be used again at the next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will complete the appropriate continuing education for subsequent renewals.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first biennial renewal date of July 1 that is less than 12 months from the date of the filing of the application to restore the certificate of licensure to active status, the individual will not be required to report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first biennial renewal date of July 1 that is more than 12 months, but less than 24 months, from the date of the filing of the application to restore the certificate of licensure to active status, the individual will report 12 hours of previously unreported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will provide a written statement in which the applicant affirms that the applicant has not engaged in any of the practices in Iowa that are listed in Iowa Code section </w:t>
      </w:r>
      <w:hyperlink r:id="rId22">
        <w:r>
          <w:rPr>
            <w:rStyle w:val="Hyperlink"/>
            <w:rFonts w:ascii="Times New Roman" w:hAnsi="Times New Roman"/>
            <w:b w:val="false"/>
            <w:i w:val="false"/>
            <w:color w:val="000000"/>
            <w:sz w:val="22"/>
          </w:rPr>
          <w:t>544B.1(2)</w:t>
        </w:r>
      </w:hyperlink>
      <w:r>
        <w:rPr>
          <w:rFonts w:ascii="Times New Roman" w:hAnsi="Times New Roman"/>
          <w:b w:val="false"/>
          <w:i w:val="false"/>
          <w:color w:val="000000"/>
          <w:sz w:val="22"/>
        </w:rPr>
        <w:t xml:space="preserve"> during the period of inactive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1082.8(3)</w:t>
      </w:r>
      <w:r>
        <w:rPr>
          <w:rFonts w:ascii="Times New Roman" w:hAnsi="Times New Roman"/>
          <w:b w:val="false"/>
          <w:i w:val="false"/>
          <w:color w:val="000000"/>
          <w:sz w:val="22"/>
        </w:rPr>
        <w:t> </w:t>
      </w:r>
      <w:r>
        <w:rPr>
          <w:rFonts w:ascii="Times New Roman" w:hAnsi="Times New Roman"/>
          <w:b w:val="false"/>
          <w:i w:val="false"/>
          <w:color w:val="000000"/>
          <w:sz w:val="22"/>
        </w:rPr>
        <w:t>The board will review reinstatement applications on a case-by-case basis and may, at its discretion, require that the applicant take the LARE as a prerequisite to reinstatement to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481—1082.9</w:t>
      </w:r>
      <w:r>
        <w:rPr>
          <w:rFonts w:ascii="Times New Roman" w:hAnsi="Times New Roman"/>
          <w:b/>
          <w:i w:val="false"/>
          <w:color w:val="000000"/>
          <w:sz w:val="22"/>
        </w:rPr>
        <w:t xml:space="preserve">(544B,17A) </w:t>
      </w:r>
      <w:r>
        <w:rPr>
          <w:rFonts w:ascii="Times New Roman" w:hAnsi="Times New Roman"/>
          <w:b/>
          <w:i w:val="false"/>
          <w:color w:val="000000"/>
          <w:sz w:val="22"/>
        </w:rPr>
        <w:t xml:space="preserve">Responsibility for accuracy of applications. </w:t>
      </w:r>
      <w:r>
        <w:rPr>
          <w:rFonts w:ascii="Times New Roman" w:hAnsi="Times New Roman"/>
          <w:b w:val="false"/>
          <w:i w:val="false"/>
          <w:color w:val="000000"/>
          <w:sz w:val="22"/>
        </w:rPr>
        <w:t>The landscape architect is responsible for verifying the accuracy of the information submitted on applications regardless of how the application is submitted or by whom it is submitted. For instance, if the office manager of a landscape architect’s firm submits an application for renewal on behalf of the landscape architect and that information is incorrect, the landscape architect will be held responsible for the information and may be subject to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481—1082.10</w:t>
      </w:r>
      <w:r>
        <w:rPr>
          <w:rFonts w:ascii="Times New Roman" w:hAnsi="Times New Roman"/>
          <w:b/>
          <w:i w:val="false"/>
          <w:color w:val="000000"/>
          <w:sz w:val="22"/>
        </w:rPr>
        <w:t xml:space="preserve">(544B,17A) </w:t>
      </w:r>
      <w:r>
        <w:rPr>
          <w:rFonts w:ascii="Times New Roman" w:hAnsi="Times New Roman"/>
          <w:b/>
          <w:i w:val="false"/>
          <w:color w:val="000000"/>
          <w:sz w:val="22"/>
        </w:rPr>
        <w:t xml:space="preserve">Fee schedule. </w:t>
      </w:r>
      <w:r>
        <w:rPr>
          <w:rFonts w:ascii="Times New Roman" w:hAnsi="Times New Roman"/>
          <w:b w:val="false"/>
          <w:i w:val="false"/>
          <w:color w:val="000000"/>
          <w:sz w:val="22"/>
        </w:rPr>
        <w:t>The appropriate fee shall accompany the application.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819"/>
        <w:gridCol w:w="3133"/>
      </w:tblGrid>
      <w:tr>
        <w:trPr>
          <w:trHeight w:val="360" w:hRule="atLeast"/>
        </w:trPr>
        <w:tc>
          <w:tcPr>
            <w:tcW w:w="58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Fees for examination subjects shall be paid directly to the testing service selected by CLARB.</w:t>
            </w:r>
          </w:p>
        </w:tc>
        <w:tc>
          <w:tcPr>
            <w:tcW w:w="3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w:t>
            </w:r>
          </w:p>
        </w:tc>
      </w:tr>
      <w:tr>
        <w:trPr>
          <w:trHeight w:val="195" w:hRule="atLeast"/>
        </w:trPr>
        <w:tc>
          <w:tcPr>
            <w:tcW w:w="58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Exemption fee</w:t>
            </w:r>
          </w:p>
        </w:tc>
        <w:tc>
          <w:tcPr>
            <w:tcW w:w="3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$300</w:t>
            </w:r>
          </w:p>
        </w:tc>
      </w:tr>
      <w:tr>
        <w:trPr>
          <w:trHeight w:val="36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396"/>
              <w:jc w:val="left"/>
            </w:pPr>
            <w:r>
              <w:rPr>
                <w:rFonts w:ascii="Times New Roman" w:hAnsi="Times New Roman"/>
                <w:b w:val="false"/>
                <w:i w:val="false"/>
                <w:color w:val="000000"/>
                <w:sz w:val="14"/>
              </w:rPr>
              <w:t>(This certificate of licensure is to be effective to the June 30 which is at least</w:t>
            </w:r>
          </w:p>
          <w:p>
            <w:pPr>
              <w:spacing w:before="0" w:after="0" w:line="264"/>
              <w:ind w:left="396"/>
              <w:jc w:val="left"/>
            </w:pPr>
            <w:r>
              <w:rPr>
                <w:rFonts w:ascii="Times New Roman" w:hAnsi="Times New Roman"/>
                <w:b w:val="false"/>
                <w:i w:val="false"/>
                <w:color w:val="000000"/>
                <w:sz w:val="14"/>
              </w:rPr>
              <w:t>12 months beyond the date of the application.)</w:t>
            </w:r>
          </w:p>
        </w:tc>
      </w:tr>
      <w:tr>
        <w:trPr>
          <w:trHeight w:val="195" w:hRule="atLeast"/>
        </w:trPr>
        <w:tc>
          <w:tcPr>
            <w:tcW w:w="58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Wall certificate replacement fee</w:t>
            </w:r>
          </w:p>
        </w:tc>
        <w:tc>
          <w:tcPr>
            <w:tcW w:w="3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w:t>
            </w:r>
          </w:p>
        </w:tc>
      </w:tr>
      <w:tr>
        <w:trPr>
          <w:trHeight w:val="195" w:hRule="atLeast"/>
        </w:trPr>
        <w:tc>
          <w:tcPr>
            <w:tcW w:w="58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Certificate of licensure fee</w:t>
            </w:r>
          </w:p>
        </w:tc>
        <w:tc>
          <w:tcPr>
            <w:tcW w:w="3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$15/month</w:t>
            </w:r>
          </w:p>
        </w:tc>
      </w:tr>
      <w:tr>
        <w:trPr>
          <w:trHeight w:val="36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396"/>
              <w:jc w:val="left"/>
            </w:pPr>
            <w:r>
              <w:rPr>
                <w:rFonts w:ascii="Times New Roman" w:hAnsi="Times New Roman"/>
                <w:b w:val="false"/>
                <w:i w:val="false"/>
                <w:color w:val="000000"/>
                <w:sz w:val="14"/>
              </w:rPr>
              <w:t>(This certificate of licensure is to be effective the day</w:t>
            </w:r>
          </w:p>
          <w:p>
            <w:pPr>
              <w:spacing w:before="0" w:after="0" w:line="264"/>
              <w:ind w:left="396"/>
              <w:jc w:val="left"/>
            </w:pPr>
            <w:r>
              <w:rPr>
                <w:rFonts w:ascii="Times New Roman" w:hAnsi="Times New Roman"/>
                <w:b w:val="false"/>
                <w:i w:val="false"/>
                <w:color w:val="000000"/>
                <w:sz w:val="14"/>
              </w:rPr>
              <w:t xml:space="preserve"> of board action until June 30.)</w:t>
            </w:r>
          </w:p>
        </w:tc>
      </w:tr>
      <w:tr>
        <w:trPr>
          <w:trHeight w:val="195" w:hRule="atLeast"/>
        </w:trPr>
        <w:tc>
          <w:tcPr>
            <w:tcW w:w="58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Biennial licensure fee (active)</w:t>
            </w:r>
          </w:p>
        </w:tc>
        <w:tc>
          <w:tcPr>
            <w:tcW w:w="3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$350</w:t>
            </w:r>
          </w:p>
        </w:tc>
      </w:tr>
      <w:tr>
        <w:trPr>
          <w:trHeight w:val="195" w:hRule="atLeast"/>
        </w:trPr>
        <w:tc>
          <w:tcPr>
            <w:tcW w:w="58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Biennial licensure fee (inactive)</w:t>
            </w:r>
          </w:p>
        </w:tc>
        <w:tc>
          <w:tcPr>
            <w:tcW w:w="3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w:t>
            </w:r>
          </w:p>
        </w:tc>
      </w:tr>
      <w:tr>
        <w:trPr>
          <w:trHeight w:val="510" w:hRule="atLeast"/>
        </w:trPr>
        <w:tc>
          <w:tcPr>
            <w:tcW w:w="58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Reinstatement of lapsed licensure to active status</w:t>
            </w:r>
          </w:p>
        </w:tc>
        <w:tc>
          <w:tcPr>
            <w:tcW w:w="3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 + renewal fee + $25 per month or partial month of lapsed licensure; not to exceed $750</w:t>
            </w:r>
          </w:p>
        </w:tc>
      </w:tr>
      <w:tr>
        <w:trPr>
          <w:trHeight w:val="195" w:hRule="atLeast"/>
        </w:trPr>
        <w:tc>
          <w:tcPr>
            <w:tcW w:w="58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Reinstatement of inactive or retired status to active status</w:t>
            </w:r>
          </w:p>
        </w:tc>
        <w:tc>
          <w:tcPr>
            <w:tcW w:w="3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$350</w:t>
            </w:r>
          </w:p>
        </w:tc>
      </w:tr>
      <w:tr>
        <w:trPr>
          <w:trHeight w:val="360" w:hRule="atLeast"/>
        </w:trPr>
        <w:tc>
          <w:tcPr>
            <w:tcW w:w="5819" w:type="dxa"/>
            <w:tcBorders>
              <w:bottom w:val="single" w:color="000000" w:sz="8"/>
              <w:right w:val="single" w:color="000000" w:sz="8"/>
            </w:tcBorders>
            <w:tcMar>
              <w:top w:w="30" w:type="dxa"/>
              <w:left w:w="30" w:type="dxa"/>
              <w:bottom w:w="15" w:type="dxa"/>
              <w:right w:w="30" w:type="dxa"/>
            </w:tcMar>
            <w:vAlign w:val="top"/>
          </w:tcPr>
          <w:p>
            <w:pPr>
              <w:spacing w:before="0" w:after="0" w:line="264"/>
              <w:ind w:left="396"/>
              <w:jc w:val="left"/>
            </w:pPr>
            <w:r>
              <w:rPr>
                <w:rFonts w:ascii="Times New Roman" w:hAnsi="Times New Roman"/>
                <w:b w:val="false"/>
                <w:i w:val="false"/>
                <w:color w:val="000000"/>
                <w:sz w:val="14"/>
              </w:rPr>
              <w:t>(If less than 12 months from the next biennial renewal, one-half of the current active licensure fee shall be paid.)</w:t>
            </w:r>
          </w:p>
        </w:tc>
        <w:tc>
          <w:tcPr>
            <w:tcW w:w="3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w:t>
            </w:r>
          </w:p>
        </w:tc>
      </w:tr>
      <w:tr>
        <w:trPr>
          <w:trHeight w:val="270" w:hRule="atLeast"/>
        </w:trPr>
        <w:tc>
          <w:tcPr>
            <w:tcW w:w="58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Prelicense determination fee </w:t>
            </w:r>
          </w:p>
        </w:tc>
        <w:tc>
          <w:tcPr>
            <w:tcW w:w="31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Executive Order 10.</w:t>
      </w:r>
    </w:p>
    <w:p>
      <w:pPr>
        <w:spacing w:before="0" w:after="0"/>
        <w:ind w:left="120"/>
        <w:jc w:val="center"/>
      </w:pPr>
      <w:r>
        <w:rPr>
          <w:rFonts w:ascii="Times New Roman" w:hAnsi="Times New Roman"/>
          <w:b w:val="false"/>
          <w:i w:val="false"/>
          <w:color w:val="000000"/>
          <w:sz w:val="21"/>
        </w:rPr>
        <w:t>[Filed 2/2/76, Notice 12/29/75—published 2/9/76, effective 2/2/76]</w:t>
      </w:r>
    </w:p>
    <w:p>
      <w:pPr>
        <w:spacing w:before="0" w:after="0"/>
        <w:ind w:left="120"/>
        <w:jc w:val="center"/>
      </w:pPr>
      <w:r>
        <w:rPr>
          <w:rFonts w:ascii="Times New Roman" w:hAnsi="Times New Roman"/>
          <w:b w:val="false"/>
          <w:i w:val="false"/>
          <w:color w:val="000000"/>
          <w:sz w:val="21"/>
        </w:rPr>
        <w:t>[Filed emergency 5/18/76—published 5/31/76, effective 5/18/76]</w:t>
      </w:r>
    </w:p>
    <w:p>
      <w:pPr>
        <w:spacing w:before="0" w:after="0"/>
        <w:ind w:left="120"/>
        <w:jc w:val="center"/>
      </w:pPr>
      <w:r>
        <w:rPr>
          <w:rFonts w:ascii="Times New Roman" w:hAnsi="Times New Roman"/>
          <w:b w:val="false"/>
          <w:i w:val="false"/>
          <w:color w:val="000000"/>
          <w:sz w:val="21"/>
        </w:rPr>
        <w:t>[Filed emergency 5/25/77, Notice 4/20/77—published 6/15/77, effective 5/25/77]</w:t>
      </w:r>
    </w:p>
    <w:p>
      <w:pPr>
        <w:spacing w:before="0" w:after="0"/>
        <w:ind w:left="120"/>
        <w:jc w:val="center"/>
      </w:pPr>
      <w:r>
        <w:rPr>
          <w:rFonts w:ascii="Times New Roman" w:hAnsi="Times New Roman"/>
          <w:b w:val="false"/>
          <w:i w:val="false"/>
          <w:color w:val="000000"/>
          <w:sz w:val="21"/>
        </w:rPr>
        <w:t>[Filed 7/20/77, Notice 5/4/77—published 8/10/77, effective 9/14/77]</w:t>
      </w:r>
    </w:p>
    <w:p>
      <w:pPr>
        <w:spacing w:before="0" w:after="0"/>
        <w:ind w:left="120"/>
        <w:jc w:val="center"/>
      </w:pPr>
      <w:r>
        <w:rPr>
          <w:rFonts w:ascii="Times New Roman" w:hAnsi="Times New Roman"/>
          <w:b w:val="false"/>
          <w:i w:val="false"/>
          <w:color w:val="000000"/>
          <w:sz w:val="21"/>
        </w:rPr>
        <w:t>[Filed emergency 4/14/78—published 5/3/78, effective 4/14/78]</w:t>
      </w:r>
    </w:p>
    <w:p>
      <w:pPr>
        <w:spacing w:before="0" w:after="0"/>
        <w:ind w:left="120"/>
        <w:jc w:val="center"/>
      </w:pPr>
      <w:r>
        <w:rPr>
          <w:rFonts w:ascii="Times New Roman" w:hAnsi="Times New Roman"/>
          <w:b w:val="false"/>
          <w:i w:val="false"/>
          <w:color w:val="000000"/>
          <w:sz w:val="21"/>
        </w:rPr>
        <w:t>[Filed 3/13/80, Notice 2/6/80—published 4/2/80, effective 5/7/80]</w:t>
      </w:r>
    </w:p>
    <w:p>
      <w:pPr>
        <w:spacing w:before="0" w:after="0"/>
        <w:ind w:left="120"/>
        <w:jc w:val="center"/>
      </w:pPr>
      <w:r>
        <w:rPr>
          <w:rFonts w:ascii="Times New Roman" w:hAnsi="Times New Roman"/>
          <w:b w:val="false"/>
          <w:i w:val="false"/>
          <w:color w:val="000000"/>
          <w:sz w:val="21"/>
        </w:rPr>
        <w:t>[Filed emergency 4/30/80—published 5/28/80, effective 5/1/80]</w:t>
      </w:r>
    </w:p>
    <w:p>
      <w:pPr>
        <w:spacing w:before="0" w:after="0"/>
        <w:ind w:left="120"/>
        <w:jc w:val="center"/>
      </w:pPr>
      <w:r>
        <w:rPr>
          <w:rFonts w:ascii="Times New Roman" w:hAnsi="Times New Roman"/>
          <w:b w:val="false"/>
          <w:i w:val="false"/>
          <w:color w:val="000000"/>
          <w:sz w:val="21"/>
        </w:rPr>
        <w:t>[Filed 3/29/82, Notice 1/20/82—published 4/14/82, effective 5/19/82]</w:t>
      </w:r>
    </w:p>
    <w:p>
      <w:pPr>
        <w:spacing w:before="0" w:after="0"/>
        <w:ind w:left="120"/>
        <w:jc w:val="center"/>
      </w:pPr>
      <w:r>
        <w:rPr>
          <w:rFonts w:ascii="Times New Roman" w:hAnsi="Times New Roman"/>
          <w:b w:val="false"/>
          <w:i w:val="false"/>
          <w:color w:val="000000"/>
          <w:sz w:val="21"/>
        </w:rPr>
        <w:t>[Filed 12/2/83, Notice 10/26/83—published 12/21/83, effective 1/25/84]</w:t>
      </w:r>
    </w:p>
    <w:p>
      <w:pPr>
        <w:spacing w:before="0" w:after="0"/>
        <w:ind w:left="120"/>
        <w:jc w:val="center"/>
      </w:pPr>
      <w:r>
        <w:rPr>
          <w:rFonts w:ascii="Times New Roman" w:hAnsi="Times New Roman"/>
          <w:b w:val="false"/>
          <w:i w:val="false"/>
          <w:color w:val="000000"/>
          <w:sz w:val="21"/>
        </w:rPr>
        <w:t>[Filed 2/18/88, Notice 12/16/87—published 3/9/88, effective 4/13/88]</w:t>
      </w:r>
    </w:p>
    <w:p>
      <w:pPr>
        <w:spacing w:before="0" w:after="0"/>
        <w:ind w:left="120"/>
        <w:jc w:val="center"/>
      </w:pPr>
      <w:r>
        <w:rPr>
          <w:rFonts w:ascii="Times New Roman" w:hAnsi="Times New Roman"/>
          <w:b w:val="false"/>
          <w:i w:val="false"/>
          <w:color w:val="000000"/>
          <w:sz w:val="21"/>
        </w:rPr>
        <w:t>[Filed without Notice 2/18/88—published 3/9/88, effective 4/13/88]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12/30/92, Notice 10/28/92—published 1/20/93, effective 2/24/93]</w:t>
      </w:r>
    </w:p>
    <w:p>
      <w:pPr>
        <w:spacing w:before="0" w:after="0"/>
        <w:ind w:left="120"/>
        <w:jc w:val="center"/>
      </w:pPr>
      <w:r>
        <w:rPr>
          <w:rFonts w:ascii="Times New Roman" w:hAnsi="Times New Roman"/>
          <w:b w:val="false"/>
          <w:i w:val="false"/>
          <w:color w:val="000000"/>
          <w:sz w:val="21"/>
        </w:rPr>
        <w:t>[Filed 11/19/93, Notice 5/12/93—published 12/8/93, effective 1/12/94]</w:t>
      </w:r>
    </w:p>
    <w:p>
      <w:pPr>
        <w:spacing w:before="0" w:after="0"/>
        <w:ind w:left="120"/>
        <w:jc w:val="center"/>
      </w:pPr>
      <w:r>
        <w:rPr>
          <w:rFonts w:ascii="Times New Roman" w:hAnsi="Times New Roman"/>
          <w:b w:val="false"/>
          <w:i w:val="false"/>
          <w:color w:val="000000"/>
          <w:sz w:val="21"/>
        </w:rPr>
        <w:t>[Filed 10/20/94, Notice 5/11/94—published 11/9/94, effective 12/14/94]</w:t>
      </w:r>
    </w:p>
    <w:p>
      <w:pPr>
        <w:spacing w:before="0" w:after="0"/>
        <w:ind w:left="120"/>
        <w:jc w:val="center"/>
      </w:pPr>
      <w:r>
        <w:rPr>
          <w:rFonts w:ascii="Times New Roman" w:hAnsi="Times New Roman"/>
          <w:b w:val="false"/>
          <w:i w:val="false"/>
          <w:color w:val="000000"/>
          <w:sz w:val="21"/>
        </w:rPr>
        <w:t>[Filed 10/16/95, Notice 8/2/95—published 11/8/95, effective 12/13/95]</w:t>
      </w:r>
    </w:p>
    <w:p>
      <w:pPr>
        <w:spacing w:before="0" w:after="0"/>
        <w:ind w:left="120"/>
        <w:jc w:val="center"/>
      </w:pPr>
      <w:r>
        <w:rPr>
          <w:rFonts w:ascii="Times New Roman" w:hAnsi="Times New Roman"/>
          <w:b w:val="false"/>
          <w:i w:val="false"/>
          <w:color w:val="000000"/>
          <w:sz w:val="21"/>
        </w:rPr>
        <w:t>[Filed 4/5/96, Notice 1/3/96—published 4/24/96, effective 5/29/96]</w:t>
      </w:r>
    </w:p>
    <w:p>
      <w:pPr>
        <w:spacing w:before="0" w:after="0"/>
        <w:ind w:left="120"/>
        <w:jc w:val="center"/>
      </w:pPr>
      <w:r>
        <w:rPr>
          <w:rFonts w:ascii="Times New Roman" w:hAnsi="Times New Roman"/>
          <w:b w:val="false"/>
          <w:i w:val="false"/>
          <w:color w:val="000000"/>
          <w:sz w:val="21"/>
        </w:rPr>
        <w:t>[Filed 12/19/01, Notice 11/14/01—published 1/9/02, effective 2/13/02]</w:t>
      </w:r>
    </w:p>
    <w:p>
      <w:pPr>
        <w:spacing w:before="0" w:after="0"/>
        <w:ind w:left="120"/>
        <w:jc w:val="center"/>
      </w:pPr>
      <w:r>
        <w:rPr>
          <w:rFonts w:ascii="Times New Roman" w:hAnsi="Times New Roman"/>
          <w:b w:val="false"/>
          <w:i w:val="false"/>
          <w:color w:val="000000"/>
          <w:sz w:val="21"/>
        </w:rPr>
        <w:t>[Filed 7/24/03, Notice 5/14/03—published 8/20/03, effective 9/24/03]</w:t>
      </w:r>
    </w:p>
    <w:p>
      <w:pPr>
        <w:spacing w:before="0" w:after="0"/>
        <w:ind w:left="120"/>
        <w:jc w:val="center"/>
      </w:pPr>
      <w:r>
        <w:rPr>
          <w:rFonts w:ascii="Times New Roman" w:hAnsi="Times New Roman"/>
          <w:b w:val="false"/>
          <w:i w:val="false"/>
          <w:color w:val="000000"/>
          <w:sz w:val="21"/>
        </w:rPr>
        <w:t>[Filed 3/16/04, Notice 1/21/04—published 4/14/04, effective 5/19/04]</w:t>
      </w:r>
    </w:p>
    <w:p>
      <w:pPr>
        <w:spacing w:before="0" w:after="0"/>
        <w:ind w:left="120"/>
        <w:jc w:val="center"/>
      </w:pPr>
      <w:r>
        <w:rPr>
          <w:rFonts w:ascii="Times New Roman" w:hAnsi="Times New Roman"/>
          <w:b w:val="false"/>
          <w:i w:val="false"/>
          <w:color w:val="000000"/>
          <w:sz w:val="21"/>
        </w:rPr>
        <w:t>[Filed 11/3/04, Notice 7/7/04—published 11/24/04, effective 12/29/04]</w:t>
      </w:r>
    </w:p>
    <w:p>
      <w:pPr>
        <w:spacing w:before="0" w:after="0"/>
        <w:ind w:left="120"/>
        <w:jc w:val="center"/>
      </w:pPr>
      <w:r>
        <w:rPr>
          <w:rFonts w:ascii="Times New Roman" w:hAnsi="Times New Roman"/>
          <w:b w:val="false"/>
          <w:i w:val="false"/>
          <w:color w:val="000000"/>
          <w:sz w:val="21"/>
        </w:rPr>
        <w:t>[Filed 10/20/05, Notice 8/3/05—published 11/9/05, effective 12/14/05]</w:t>
      </w:r>
    </w:p>
    <w:p>
      <w:pPr>
        <w:spacing w:before="0" w:after="0"/>
        <w:ind w:left="120"/>
        <w:jc w:val="center"/>
      </w:pPr>
      <w:r>
        <w:rPr>
          <w:rFonts w:ascii="Times New Roman" w:hAnsi="Times New Roman"/>
          <w:b w:val="false"/>
          <w:i w:val="false"/>
          <w:color w:val="000000"/>
          <w:sz w:val="21"/>
        </w:rPr>
        <w:t>[Filed 5/3/07, Notice 2/14/07—published 5/23/07, effective 6/27/07]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2/13/08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5/21/08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0213C</w:t>
      </w:r>
      <w:r>
        <w:rPr>
          <w:rFonts w:ascii="Times New Roman" w:hAnsi="Times New Roman"/>
          <w:b w:val="false"/>
          <w:i w:val="false"/>
          <w:color w:val="000000"/>
          <w:sz w:val="21"/>
        </w:rPr>
        <w:t xml:space="preserve"> (Notice ARC 0086C, IAB 4/18/12)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2709C</w:t>
      </w:r>
      <w:r>
        <w:rPr>
          <w:rFonts w:ascii="Times New Roman" w:hAnsi="Times New Roman"/>
          <w:b w:val="false"/>
          <w:i w:val="false"/>
          <w:color w:val="000000"/>
          <w:sz w:val="21"/>
        </w:rPr>
        <w:t xml:space="preserve"> (Notice ARC 2475C, IAB 3/30/16)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ARC 3097C</w:t>
      </w:r>
      <w:r>
        <w:rPr>
          <w:rFonts w:ascii="Times New Roman" w:hAnsi="Times New Roman"/>
          <w:b w:val="false"/>
          <w:i w:val="false"/>
          <w:color w:val="000000"/>
          <w:sz w:val="21"/>
        </w:rPr>
        <w:t xml:space="preserve"> (Notice ARC 2941C, IAB 2/15/17)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5571C</w:t>
      </w:r>
      <w:r>
        <w:rPr>
          <w:rFonts w:ascii="Times New Roman" w:hAnsi="Times New Roman"/>
          <w:b w:val="false"/>
          <w:i w:val="false"/>
          <w:color w:val="000000"/>
          <w:sz w:val="21"/>
        </w:rPr>
        <w:t xml:space="preserve"> (Notice ARC 5430C, IAB 2/10/21)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9155C</w:t>
      </w:r>
      <w:r>
        <w:rPr>
          <w:rFonts w:ascii="Times New Roman" w:hAnsi="Times New Roman"/>
          <w:b w:val="false"/>
          <w:i w:val="false"/>
          <w:color w:val="000000"/>
          <w:sz w:val="21"/>
        </w:rPr>
        <w:t xml:space="preserve"> (Notice ARC 8765C, IAB 1/22/25)</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[Editorial change: IAC Supplement 6/10/26]</w:t>
      </w:r>
    </w:p>
    <w:sectPr>
      <w:footerReference r:id="rId2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06.26.pdf" Type="http://schemas.openxmlformats.org/officeDocument/2006/relationships/hyperlink" Id="rId5"/>
    <Relationship TargetMode="External" Target="https://www.legis.iowa.gov/docs/ico/chapter/17A.19.pdf" Type="http://schemas.openxmlformats.org/officeDocument/2006/relationships/hyperlink" Id="rId6"/>
    <Relationship TargetMode="External" Target="https://www.legis.iowa.gov/docs/ico/chapter/544B.9.pdf" Type="http://schemas.openxmlformats.org/officeDocument/2006/relationships/hyperlink" Id="rId7"/>
    <Relationship TargetMode="External" Target="https://www.legis.iowa.gov/docs/iac/rule/481.1082.8.pdf" Type="http://schemas.openxmlformats.org/officeDocument/2006/relationships/hyperlink" Id="rId8"/>
    <Relationship TargetMode="External" Target="https://www.legis.iowa.gov/docs/iac/chapter/481.506.pdf" Type="http://schemas.openxmlformats.org/officeDocument/2006/relationships/hyperlink" Id="rId9"/>
    <Relationship TargetMode="External" Target="https://www.legis.iowa.gov/docs/iac/rule/481.506.33.pdf" Type="http://schemas.openxmlformats.org/officeDocument/2006/relationships/hyperlink" Id="rId10"/>
    <Relationship TargetMode="External" Target="https://www.legis.iowa.gov/docs/iac/rule/481.1083.3.pdf" Type="http://schemas.openxmlformats.org/officeDocument/2006/relationships/hyperlink" Id="rId11"/>
    <Relationship TargetMode="External" Target="https://www.legis.iowa.gov/docs/iac/chapter/481.506.pdf" Type="http://schemas.openxmlformats.org/officeDocument/2006/relationships/hyperlink" Id="rId12"/>
    <Relationship TargetMode="External" Target="https://www.legis.iowa.gov/docs/iac/chapter/481.506.pdf" Type="http://schemas.openxmlformats.org/officeDocument/2006/relationships/hyperlink" Id="rId13"/>
    <Relationship TargetMode="External" Target="https://www.legis.iowa.gov/docs/ico/chapter/544B.18.pdf" Type="http://schemas.openxmlformats.org/officeDocument/2006/relationships/hyperlink" Id="rId14"/>
    <Relationship TargetMode="External" Target="https://www.legis.iowa.gov/docs/ico/chapter/544B.18.pdf" Type="http://schemas.openxmlformats.org/officeDocument/2006/relationships/hyperlink" Id="rId15"/>
    <Relationship TargetMode="External" Target="https://www.legis.iowa.gov/docs/iac/rule/481.1082.8.pdf" Type="http://schemas.openxmlformats.org/officeDocument/2006/relationships/hyperlink" Id="rId16"/>
    <Relationship TargetMode="External" Target="https://www.legis.iowa.gov/docs/iac/rule/481.1082.10.pdf" Type="http://schemas.openxmlformats.org/officeDocument/2006/relationships/hyperlink" Id="rId17"/>
    <Relationship TargetMode="External" Target="https://www.legis.iowa.gov/docs/ico/chapter/544B.18.pdf" Type="http://schemas.openxmlformats.org/officeDocument/2006/relationships/hyperlink" Id="rId18"/>
    <Relationship TargetMode="External" Target="https://www.legis.iowa.gov/docs/ico/chapter/544B.18.pdf" Type="http://schemas.openxmlformats.org/officeDocument/2006/relationships/hyperlink" Id="rId19"/>
    <Relationship TargetMode="External" Target="https://www.legis.iowa.gov/docs/iac/chapter/481.1083.pdf" Type="http://schemas.openxmlformats.org/officeDocument/2006/relationships/hyperlink" Id="rId20"/>
    <Relationship TargetMode="External" Target="https://www.legis.iowa.gov/docs/iac/chapter/481.1083.pdf" Type="http://schemas.openxmlformats.org/officeDocument/2006/relationships/hyperlink" Id="rId21"/>
    <Relationship TargetMode="External" Target="https://www.legis.iowa.gov/docs/ico/chapter/544B.1.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544B.pdf" Type="http://schemas.openxmlformats.org/officeDocument/2006/relationships/hyperlink" Id="rId24"/>
    <Relationship Target="footer.xml" Type="http://schemas.openxmlformats.org/officeDocument/2006/relationships/footer"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