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1067</w:t>
      </w:r>
    </w:p>
    <w:p>
      <w:pPr>
        <w:spacing w:before="0" w:after="0"/>
        <w:ind w:left="120"/>
        <w:jc w:val="center"/>
      </w:pPr>
      <w:r>
        <w:rPr>
          <w:rFonts w:ascii="Times New Roman" w:hAnsi="Times New Roman"/>
          <w:b w:val="false"/>
          <w:i w:val="false"/>
          <w:color w:val="000000"/>
          <w:sz w:val="21"/>
        </w:rPr>
        <w:t>DISCIPLINARY ACTION—UNLICENSED PRACTICE</w:t>
      </w:r>
    </w:p>
    <w:p>
      <w:pPr>
        <w:spacing w:before="0" w:after="0"/>
        <w:ind w:left="120"/>
        <w:jc w:val="center"/>
      </w:pPr>
      <w:r>
        <w:rPr>
          <w:rFonts w:ascii="Times New Roman" w:hAnsi="Times New Roman"/>
          <w:b w:val="false"/>
          <w:i w:val="false"/>
          <w:color w:val="000000"/>
          <w:sz w:val="20"/>
        </w:rPr>
        <w:t>[Previously Ch 4; Ch 5, IAB 3/2/83]</w:t>
      </w:r>
      <w:r>
        <w:br/>
      </w:r>
      <w:r>
        <w:rPr>
          <w:rFonts w:ascii="Times New Roman" w:hAnsi="Times New Roman"/>
          <w:b w:val="false"/>
          <w:i w:val="false"/>
          <w:color w:val="000000"/>
          <w:sz w:val="20"/>
        </w:rPr>
        <w:t>[Prior to 7/13/88, see Architectural Examiners, Board of[80]]</w:t>
      </w:r>
    </w:p>
    <w:p>
      <w:pPr>
        <w:spacing w:before="0" w:after="0"/>
        <w:ind w:left="120"/>
        <w:jc w:val="center"/>
      </w:pPr>
      <w:r>
        <w:rPr>
          <w:rFonts w:ascii="Times New Roman" w:hAnsi="Times New Roman"/>
          <w:b w:val="false"/>
          <w:i w:val="false"/>
          <w:color w:val="000000"/>
          <w:sz w:val="20"/>
        </w:rPr>
        <w:t>[Prior to 10/3/01, see 193B—Chapter 5]</w:t>
      </w:r>
    </w:p>
    <w:p>
      <w:pPr>
        <w:spacing w:before="0" w:after="0"/>
        <w:ind w:left="120"/>
        <w:jc w:val="center"/>
      </w:pPr>
      <w:r>
        <w:rPr>
          <w:rFonts w:ascii="Times New Roman" w:hAnsi="Times New Roman"/>
          <w:b w:val="false"/>
          <w:i w:val="false"/>
          <w:color w:val="000000"/>
          <w:sz w:val="20"/>
        </w:rPr>
        <w:t>[Prior to 6/24/26, see Architectural Examining Board[193B]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481—1067.1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architectural examining board has authority in Iowa Code chapters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these chapters and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481—1067.2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481—1067.3</w:t>
      </w:r>
      <w:r>
        <w:rPr>
          <w:rFonts w:ascii="Times New Roman" w:hAnsi="Times New Roman"/>
          <w:b/>
          <w:i w:val="false"/>
          <w:color w:val="000000"/>
          <w:sz w:val="22"/>
        </w:rPr>
        <w:t xml:space="preserve">(544A) </w:t>
      </w:r>
      <w:r>
        <w:rPr>
          <w:rFonts w:ascii="Times New Roman" w:hAnsi="Times New Roman"/>
          <w:b/>
          <w:i w:val="false"/>
          <w:color w:val="000000"/>
          <w:sz w:val="22"/>
        </w:rPr>
        <w:t xml:space="preserve">Civil penalties against unlicensed person. </w:t>
      </w:r>
      <w:r>
        <w:rPr>
          <w:rFonts w:ascii="Times New Roman" w:hAnsi="Times New Roman"/>
          <w:b w:val="false"/>
          <w:i w:val="false"/>
          <w:color w:val="000000"/>
          <w:sz w:val="22"/>
        </w:rPr>
        <w:t xml:space="preserve">The board may impose civil penalties by order against a person who is not licensed as an architect pursuant to Iowa Code chapter </w:t>
      </w:r>
      <w:hyperlink r:id="rId8">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based on the unlawful practices specified in Iowa Code section </w:t>
      </w:r>
      <w:hyperlink r:id="rId9">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In addition to the procedures set forth in Iowa Code section </w:t>
      </w:r>
      <w:hyperlink r:id="rId10">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11">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xml:space="preserve"> may be served upon the unlicensed person by restricted certified mail, return receipt requested, or personal service in accordance with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unlicensed person’s right to a hearing and the time frame in which a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1067.3(2)</w:t>
      </w:r>
      <w:r>
        <w:rPr>
          <w:rFonts w:ascii="Times New Roman" w:hAnsi="Times New Roman"/>
          <w:b w:val="false"/>
          <w:i w:val="false"/>
          <w:color w:val="000000"/>
          <w:sz w:val="22"/>
        </w:rPr>
        <w:t> </w:t>
      </w:r>
      <w:r>
        <w:rPr>
          <w:rFonts w:ascii="Times New Roman" w:hAnsi="Times New Roman"/>
          <w:b w:val="false"/>
          <w:i w:val="false"/>
          <w:color w:val="000000"/>
          <w:sz w:val="22"/>
        </w:rPr>
        <w:t>Unlicensed persons need to request a hearing in writing within 30 days of the date the notice is mailed, if served through restricted certified mail to the last-known address, or within 30 days of the date of service, if service is accepted or made in accordance with Rule of Civil Procedure 1.305. A request for hearing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issues a notice of hearing and conducts a hearing in the same manner as applicable to disciplinary cases against licensed architects.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12">
        <w:r>
          <w:rPr>
            <w:rStyle w:val="Hyperlink"/>
            <w:rFonts w:ascii="Times New Roman" w:hAnsi="Times New Roman"/>
            <w:b w:val="false"/>
            <w:i w:val="false"/>
            <w:color w:val="000000"/>
            <w:sz w:val="22"/>
          </w:rPr>
          <w:t>544A.15(3)</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unlicensed person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1067.3(6)</w:t>
      </w:r>
      <w:r>
        <w:rPr>
          <w:rFonts w:ascii="Times New Roman" w:hAnsi="Times New Roman"/>
          <w:b w:val="false"/>
          <w:i w:val="false"/>
          <w:color w:val="000000"/>
          <w:sz w:val="22"/>
        </w:rPr>
        <w:t> </w:t>
      </w:r>
      <w:r>
        <w:rPr>
          <w:rFonts w:ascii="Times New Roman" w:hAnsi="Times New Roman"/>
          <w:b w:val="false"/>
          <w:i w:val="false"/>
          <w:color w:val="000000"/>
          <w:sz w:val="22"/>
        </w:rPr>
        <w:t>An unlicensed person may waive the right to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Architectural Registration Boards, and other entities.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9/29/78, Notice 8/23/78—published 10/18/78, effective 11/22/78]</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12/6/91, Notice 10/3/91—published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3142C</w:t>
      </w:r>
      <w:r>
        <w:rPr>
          <w:rFonts w:ascii="Times New Roman" w:hAnsi="Times New Roman"/>
          <w:b w:val="false"/>
          <w:i w:val="false"/>
          <w:color w:val="000000"/>
          <w:sz w:val="21"/>
        </w:rPr>
        <w:t xml:space="preserve"> (Notice ARC 3014C, IAB 4/12/17)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3337C</w:t>
      </w:r>
      <w:r>
        <w:rPr>
          <w:rFonts w:ascii="Times New Roman" w:hAnsi="Times New Roman"/>
          <w:b w:val="false"/>
          <w:i w:val="false"/>
          <w:color w:val="000000"/>
          <w:sz w:val="21"/>
        </w:rPr>
        <w:t xml:space="preserve"> (Notice ARC 3175C,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7762C</w:t>
      </w:r>
      <w:r>
        <w:rPr>
          <w:rFonts w:ascii="Times New Roman" w:hAnsi="Times New Roman"/>
          <w:b w:val="false"/>
          <w:i w:val="false"/>
          <w:color w:val="000000"/>
          <w:sz w:val="21"/>
        </w:rPr>
        <w:t xml:space="preserve"> (Notice ARC 7441C,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4A.pdf" Type="http://schemas.openxmlformats.org/officeDocument/2006/relationships/hyperlink" Id="rId8"/>
    <Relationship TargetMode="External" Target="https://www.legis.iowa.gov/docs/ico/chapter/544A.15.pdf" Type="http://schemas.openxmlformats.org/officeDocument/2006/relationships/hyperlink" Id="rId9"/>
    <Relationship TargetMode="External" Target="https://www.legis.iowa.gov/docs/ico/chapter/544A.15.pdf" Type="http://schemas.openxmlformats.org/officeDocument/2006/relationships/hyperlink" Id="rId10"/>
    <Relationship TargetMode="External" Target="https://www.legis.iowa.gov/docs/ico/chapter/544A.15.pdf" Type="http://schemas.openxmlformats.org/officeDocument/2006/relationships/hyperlink" Id="rId11"/>
    <Relationship TargetMode="External" Target="https://www.legis.iowa.gov/docs/ico/chapter/544A.15.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44A.1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